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spacing w:line="360" w:lineRule="auto"/>
      </w:pPr>
    </w:p>
    <w:p>
      <w:pPr>
        <w:pStyle w:val="2"/>
        <w:spacing w:line="264" w:lineRule="auto"/>
        <w:ind w:firstLine="562"/>
        <w:jc w:val="center"/>
        <w:rPr>
          <w:rFonts w:eastAsia="黑体"/>
          <w:b/>
          <w:bCs/>
          <w:sz w:val="56"/>
          <w:szCs w:val="56"/>
        </w:rPr>
      </w:pPr>
    </w:p>
    <w:p>
      <w:pPr>
        <w:spacing w:line="360" w:lineRule="auto"/>
        <w:jc w:val="center"/>
        <w:rPr>
          <w:rFonts w:eastAsia="华文新魏"/>
          <w:b/>
          <w:bCs/>
          <w:spacing w:val="20"/>
          <w:kern w:val="10"/>
          <w:sz w:val="72"/>
          <w:szCs w:val="72"/>
        </w:rPr>
      </w:pPr>
      <w:r>
        <w:rPr>
          <w:rFonts w:hint="eastAsia" w:eastAsia="华文新魏" w:cs="华文新魏"/>
          <w:b/>
          <w:bCs/>
          <w:spacing w:val="20"/>
          <w:kern w:val="10"/>
          <w:sz w:val="72"/>
          <w:szCs w:val="72"/>
        </w:rPr>
        <w:t>广西南宁技师学院</w:t>
      </w:r>
    </w:p>
    <w:p>
      <w:pPr>
        <w:spacing w:line="360" w:lineRule="auto"/>
        <w:jc w:val="center"/>
        <w:rPr>
          <w:rFonts w:ascii="华文新魏" w:hAnsi="Times New Roman" w:eastAsia="华文新魏" w:cs="华文新魏"/>
          <w:b/>
          <w:bCs/>
          <w:spacing w:val="20"/>
          <w:kern w:val="10"/>
          <w:sz w:val="36"/>
          <w:szCs w:val="36"/>
        </w:rPr>
      </w:pPr>
    </w:p>
    <w:p>
      <w:pPr>
        <w:spacing w:line="360" w:lineRule="auto"/>
        <w:jc w:val="center"/>
        <w:rPr>
          <w:rFonts w:ascii="华文新魏" w:hAnsi="Times New Roman" w:eastAsia="华文新魏" w:cs="华文新魏"/>
          <w:b/>
          <w:bCs/>
          <w:spacing w:val="20"/>
          <w:kern w:val="10"/>
          <w:sz w:val="36"/>
          <w:szCs w:val="36"/>
          <w:highlight w:val="none"/>
        </w:rPr>
      </w:pPr>
      <w:r>
        <w:rPr>
          <w:rFonts w:hint="eastAsia" w:ascii="华文新魏" w:hAnsi="Times New Roman" w:eastAsia="华文新魏" w:cs="华文新魏"/>
          <w:b/>
          <w:bCs/>
          <w:spacing w:val="20"/>
          <w:kern w:val="10"/>
          <w:sz w:val="36"/>
          <w:szCs w:val="36"/>
          <w:highlight w:val="none"/>
        </w:rPr>
        <w:t>202</w:t>
      </w:r>
      <w:r>
        <w:rPr>
          <w:rFonts w:hint="eastAsia" w:ascii="华文新魏" w:hAnsi="Times New Roman" w:eastAsia="华文新魏" w:cs="华文新魏"/>
          <w:b/>
          <w:bCs/>
          <w:spacing w:val="20"/>
          <w:kern w:val="10"/>
          <w:sz w:val="36"/>
          <w:szCs w:val="36"/>
          <w:highlight w:val="none"/>
          <w:lang w:val="en-US" w:eastAsia="zh-CN"/>
        </w:rPr>
        <w:t>5</w:t>
      </w:r>
      <w:r>
        <w:rPr>
          <w:rFonts w:hint="eastAsia" w:ascii="华文新魏" w:hAnsi="Times New Roman" w:eastAsia="华文新魏" w:cs="华文新魏"/>
          <w:b/>
          <w:bCs/>
          <w:spacing w:val="20"/>
          <w:kern w:val="10"/>
          <w:sz w:val="36"/>
          <w:szCs w:val="36"/>
          <w:highlight w:val="none"/>
        </w:rPr>
        <w:t>年各校区变压器维保服务</w:t>
      </w:r>
    </w:p>
    <w:p>
      <w:pPr>
        <w:spacing w:line="360" w:lineRule="auto"/>
        <w:jc w:val="center"/>
        <w:rPr>
          <w:rFonts w:ascii="华文新魏" w:hAnsi="Times New Roman" w:eastAsia="华文新魏" w:cs="华文新魏"/>
          <w:b/>
          <w:bCs/>
          <w:spacing w:val="20"/>
          <w:kern w:val="10"/>
          <w:sz w:val="36"/>
          <w:szCs w:val="36"/>
        </w:rPr>
      </w:pPr>
      <w:bookmarkStart w:id="0" w:name="OLE_LINK2"/>
    </w:p>
    <w:p>
      <w:pPr>
        <w:spacing w:line="360" w:lineRule="auto"/>
        <w:jc w:val="center"/>
        <w:rPr>
          <w:rFonts w:ascii="华文新魏" w:hAnsi="Times New Roman" w:eastAsia="华文新魏"/>
          <w:bCs/>
          <w:spacing w:val="20"/>
          <w:kern w:val="10"/>
          <w:sz w:val="36"/>
          <w:szCs w:val="36"/>
          <w:highlight w:val="yellow"/>
          <w:u w:val="single"/>
        </w:rPr>
      </w:pPr>
      <w:r>
        <w:rPr>
          <w:rFonts w:hint="eastAsia" w:ascii="华文新魏" w:hAnsi="Times New Roman" w:eastAsia="华文新魏" w:cs="华文新魏"/>
          <w:b/>
          <w:bCs/>
          <w:spacing w:val="20"/>
          <w:kern w:val="10"/>
          <w:sz w:val="36"/>
          <w:szCs w:val="36"/>
        </w:rPr>
        <w:t>项目编号：GXNNJSXY202</w:t>
      </w:r>
      <w:r>
        <w:rPr>
          <w:rFonts w:hint="eastAsia" w:ascii="华文新魏" w:hAnsi="Times New Roman" w:eastAsia="华文新魏" w:cs="华文新魏"/>
          <w:b/>
          <w:bCs/>
          <w:spacing w:val="20"/>
          <w:kern w:val="10"/>
          <w:sz w:val="36"/>
          <w:szCs w:val="36"/>
          <w:lang w:val="en-US" w:eastAsia="zh-CN"/>
        </w:rPr>
        <w:t>5013</w:t>
      </w:r>
      <w:r>
        <w:rPr>
          <w:rFonts w:hint="eastAsia" w:ascii="华文新魏" w:hAnsi="Times New Roman" w:eastAsia="华文新魏" w:cs="华文新魏"/>
          <w:b/>
          <w:bCs/>
          <w:spacing w:val="20"/>
          <w:kern w:val="10"/>
          <w:sz w:val="36"/>
          <w:szCs w:val="36"/>
        </w:rPr>
        <w:t>HQ0</w:t>
      </w:r>
      <w:r>
        <w:rPr>
          <w:rFonts w:hint="eastAsia" w:ascii="华文新魏" w:hAnsi="Times New Roman" w:eastAsia="华文新魏" w:cs="华文新魏"/>
          <w:b/>
          <w:bCs/>
          <w:spacing w:val="20"/>
          <w:kern w:val="10"/>
          <w:sz w:val="36"/>
          <w:szCs w:val="36"/>
          <w:lang w:val="en-US" w:eastAsia="zh-CN"/>
        </w:rPr>
        <w:t>1</w:t>
      </w:r>
      <w:r>
        <w:rPr>
          <w:rFonts w:hint="eastAsia" w:ascii="华文新魏" w:hAnsi="Times New Roman" w:eastAsia="华文新魏" w:cs="华文新魏"/>
          <w:b/>
          <w:bCs/>
          <w:spacing w:val="20"/>
          <w:kern w:val="10"/>
          <w:sz w:val="36"/>
          <w:szCs w:val="36"/>
        </w:rPr>
        <w:t>C</w:t>
      </w:r>
    </w:p>
    <w:bookmarkEnd w:id="0"/>
    <w:p>
      <w:pPr>
        <w:pStyle w:val="2"/>
        <w:ind w:firstLine="0" w:firstLineChars="0"/>
        <w:rPr>
          <w:sz w:val="36"/>
          <w:szCs w:val="36"/>
        </w:rPr>
      </w:pPr>
      <w:r>
        <w:rPr>
          <w:rFonts w:hint="eastAsia"/>
          <w:sz w:val="36"/>
          <w:szCs w:val="36"/>
        </w:rPr>
        <w:t xml:space="preserve"> </w:t>
      </w:r>
    </w:p>
    <w:p>
      <w:pPr>
        <w:pStyle w:val="2"/>
        <w:ind w:firstLine="210"/>
      </w:pPr>
    </w:p>
    <w:p>
      <w:pPr>
        <w:spacing w:line="360" w:lineRule="auto"/>
        <w:jc w:val="center"/>
        <w:rPr>
          <w:rFonts w:eastAsia="华文新魏"/>
          <w:b/>
          <w:bCs/>
          <w:spacing w:val="20"/>
          <w:kern w:val="10"/>
          <w:sz w:val="72"/>
          <w:szCs w:val="72"/>
        </w:rPr>
      </w:pPr>
      <w:r>
        <w:rPr>
          <w:rFonts w:hint="eastAsia" w:eastAsia="华文新魏" w:cs="华文新魏"/>
          <w:b/>
          <w:bCs/>
          <w:spacing w:val="20"/>
          <w:kern w:val="10"/>
          <w:sz w:val="72"/>
          <w:szCs w:val="72"/>
        </w:rPr>
        <w:t>询价文件</w:t>
      </w:r>
    </w:p>
    <w:p>
      <w:r>
        <w:t xml:space="preserve">  </w:t>
      </w: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spacing w:line="800" w:lineRule="exact"/>
        <w:jc w:val="center"/>
        <w:rPr>
          <w:rFonts w:eastAsia="黑体"/>
          <w:sz w:val="20"/>
          <w:szCs w:val="20"/>
        </w:rPr>
      </w:pPr>
      <w:r>
        <w:rPr>
          <w:rFonts w:hint="eastAsia" w:eastAsia="黑体" w:cs="黑体"/>
          <w:sz w:val="36"/>
          <w:szCs w:val="36"/>
        </w:rPr>
        <w:t>采购单位：广西南宁技师学院</w:t>
      </w:r>
    </w:p>
    <w:p>
      <w:pPr>
        <w:spacing w:line="800" w:lineRule="exact"/>
        <w:jc w:val="center"/>
        <w:rPr>
          <w:rFonts w:eastAsia="黑体"/>
          <w:sz w:val="40"/>
          <w:szCs w:val="40"/>
        </w:rPr>
      </w:pPr>
      <w:r>
        <w:rPr>
          <w:rFonts w:eastAsia="黑体"/>
          <w:sz w:val="40"/>
          <w:szCs w:val="40"/>
        </w:rPr>
        <w:t>202</w:t>
      </w:r>
      <w:r>
        <w:rPr>
          <w:rFonts w:hint="eastAsia" w:eastAsia="黑体"/>
          <w:sz w:val="40"/>
          <w:szCs w:val="40"/>
          <w:lang w:val="en-US" w:eastAsia="zh-CN"/>
        </w:rPr>
        <w:t>5</w:t>
      </w:r>
      <w:r>
        <w:rPr>
          <w:rFonts w:hint="eastAsia" w:eastAsia="黑体" w:cs="黑体"/>
          <w:sz w:val="40"/>
          <w:szCs w:val="40"/>
        </w:rPr>
        <w:t xml:space="preserve">年 </w:t>
      </w:r>
      <w:r>
        <w:rPr>
          <w:rFonts w:hint="eastAsia" w:eastAsia="黑体" w:cs="黑体"/>
          <w:sz w:val="40"/>
          <w:szCs w:val="40"/>
          <w:lang w:val="en-US" w:eastAsia="zh-CN"/>
        </w:rPr>
        <w:t>7</w:t>
      </w:r>
      <w:r>
        <w:rPr>
          <w:rFonts w:hint="eastAsia" w:eastAsia="黑体" w:cs="黑体"/>
          <w:sz w:val="40"/>
          <w:szCs w:val="40"/>
        </w:rPr>
        <w:t xml:space="preserve"> 月</w:t>
      </w:r>
    </w:p>
    <w:p>
      <w:pPr>
        <w:rPr>
          <w:rFonts w:ascii="黑体" w:hAnsi="宋体" w:eastAsia="黑体"/>
          <w:color w:val="FF0000"/>
          <w:sz w:val="30"/>
          <w:szCs w:val="30"/>
          <w:u w:val="single"/>
        </w:rPr>
        <w:sectPr>
          <w:headerReference r:id="rId4" w:type="first"/>
          <w:footerReference r:id="rId6" w:type="first"/>
          <w:headerReference r:id="rId3" w:type="default"/>
          <w:footerReference r:id="rId5" w:type="default"/>
          <w:pgSz w:w="11906" w:h="16838"/>
          <w:pgMar w:top="1135" w:right="1135" w:bottom="1135" w:left="1135" w:header="851" w:footer="1" w:gutter="0"/>
          <w:pgNumType w:start="0"/>
          <w:cols w:space="720" w:num="1"/>
          <w:titlePg/>
          <w:docGrid w:type="lines" w:linePitch="312" w:charSpace="0"/>
        </w:sectPr>
      </w:pPr>
      <w:r>
        <w:rPr>
          <w:rFonts w:hint="eastAsia" w:ascii="黑体" w:hAnsi="宋体" w:eastAsia="黑体"/>
          <w:color w:val="FF0000"/>
          <w:sz w:val="30"/>
          <w:szCs w:val="30"/>
          <w:u w:val="single"/>
        </w:rPr>
        <w:t xml:space="preserve"> </w:t>
      </w:r>
      <w:r>
        <w:rPr>
          <w:rFonts w:ascii="黑体" w:hAnsi="宋体" w:eastAsia="黑体"/>
          <w:color w:val="FF0000"/>
          <w:sz w:val="30"/>
          <w:szCs w:val="30"/>
          <w:u w:val="single"/>
        </w:rPr>
        <w:t xml:space="preserve"> </w:t>
      </w:r>
    </w:p>
    <w:p>
      <w:pPr>
        <w:jc w:val="center"/>
        <w:rPr>
          <w:rFonts w:ascii="黑体" w:eastAsia="黑体"/>
          <w:b/>
          <w:bCs/>
          <w:sz w:val="40"/>
          <w:szCs w:val="40"/>
        </w:rPr>
      </w:pPr>
      <w:r>
        <w:rPr>
          <w:rFonts w:hint="eastAsia" w:ascii="黑体" w:eastAsia="黑体" w:cs="黑体"/>
          <w:b/>
          <w:bCs/>
          <w:sz w:val="40"/>
          <w:szCs w:val="40"/>
        </w:rPr>
        <w:t>目　录</w:t>
      </w:r>
    </w:p>
    <w:p>
      <w:pPr>
        <w:pStyle w:val="24"/>
        <w:tabs>
          <w:tab w:val="right" w:leader="dot" w:pos="8306"/>
          <w:tab w:val="clear" w:pos="8299"/>
        </w:tabs>
        <w:spacing w:line="480" w:lineRule="auto"/>
        <w:rPr>
          <w:sz w:val="28"/>
          <w:szCs w:val="28"/>
        </w:rPr>
      </w:pPr>
      <w:r>
        <w:rPr>
          <w:sz w:val="28"/>
          <w:szCs w:val="28"/>
        </w:rPr>
        <w:fldChar w:fldCharType="begin"/>
      </w:r>
      <w:r>
        <w:rPr>
          <w:sz w:val="28"/>
          <w:szCs w:val="28"/>
        </w:rPr>
        <w:instrText xml:space="preserve">TOC \o "1-1" \h \u </w:instrText>
      </w:r>
      <w:r>
        <w:rPr>
          <w:sz w:val="28"/>
          <w:szCs w:val="28"/>
        </w:rPr>
        <w:fldChar w:fldCharType="separate"/>
      </w:r>
      <w:r>
        <w:fldChar w:fldCharType="begin"/>
      </w:r>
      <w:r>
        <w:instrText xml:space="preserve"> HYPERLINK \l "_Toc22334" </w:instrText>
      </w:r>
      <w:r>
        <w:fldChar w:fldCharType="separate"/>
      </w:r>
      <w:r>
        <w:rPr>
          <w:rFonts w:hint="eastAsia"/>
          <w:sz w:val="28"/>
          <w:szCs w:val="28"/>
        </w:rPr>
        <w:t>第一章</w:t>
      </w:r>
      <w:r>
        <w:rPr>
          <w:sz w:val="28"/>
          <w:szCs w:val="28"/>
        </w:rPr>
        <w:t xml:space="preserve">  </w:t>
      </w:r>
      <w:r>
        <w:rPr>
          <w:rFonts w:hint="eastAsia"/>
          <w:sz w:val="28"/>
          <w:szCs w:val="28"/>
        </w:rPr>
        <w:t>询价公告</w:t>
      </w:r>
      <w:r>
        <w:rPr>
          <w:sz w:val="28"/>
          <w:szCs w:val="28"/>
        </w:rPr>
        <w:tab/>
      </w:r>
      <w:r>
        <w:rPr>
          <w:sz w:val="28"/>
          <w:szCs w:val="28"/>
        </w:rPr>
        <w:fldChar w:fldCharType="begin"/>
      </w:r>
      <w:r>
        <w:rPr>
          <w:sz w:val="28"/>
          <w:szCs w:val="28"/>
        </w:rPr>
        <w:instrText xml:space="preserve"> PAGEREF _Toc22334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24"/>
        <w:tabs>
          <w:tab w:val="right" w:leader="dot" w:pos="8306"/>
          <w:tab w:val="clear" w:pos="8299"/>
        </w:tabs>
        <w:spacing w:line="480" w:lineRule="auto"/>
        <w:rPr>
          <w:sz w:val="28"/>
          <w:szCs w:val="28"/>
        </w:rPr>
      </w:pPr>
      <w:r>
        <w:fldChar w:fldCharType="begin"/>
      </w:r>
      <w:r>
        <w:instrText xml:space="preserve"> HYPERLINK \l "_Toc10615" </w:instrText>
      </w:r>
      <w:r>
        <w:fldChar w:fldCharType="separate"/>
      </w:r>
      <w:r>
        <w:rPr>
          <w:rFonts w:hint="eastAsia"/>
          <w:sz w:val="28"/>
          <w:szCs w:val="28"/>
        </w:rPr>
        <w:t>第二章　采购需求书</w:t>
      </w:r>
      <w:r>
        <w:rPr>
          <w:sz w:val="28"/>
          <w:szCs w:val="28"/>
        </w:rPr>
        <w:tab/>
      </w:r>
      <w:r>
        <w:rPr>
          <w:sz w:val="28"/>
          <w:szCs w:val="28"/>
        </w:rPr>
        <w:fldChar w:fldCharType="begin"/>
      </w:r>
      <w:r>
        <w:rPr>
          <w:sz w:val="28"/>
          <w:szCs w:val="28"/>
        </w:rPr>
        <w:instrText xml:space="preserve"> PAGEREF _Toc10615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24"/>
        <w:tabs>
          <w:tab w:val="right" w:leader="dot" w:pos="8306"/>
          <w:tab w:val="clear" w:pos="8299"/>
        </w:tabs>
        <w:spacing w:line="480" w:lineRule="auto"/>
        <w:rPr>
          <w:sz w:val="28"/>
          <w:szCs w:val="28"/>
        </w:rPr>
      </w:pPr>
      <w:r>
        <w:fldChar w:fldCharType="begin"/>
      </w:r>
      <w:r>
        <w:instrText xml:space="preserve"> HYPERLINK \l "_Toc31253" </w:instrText>
      </w:r>
      <w:r>
        <w:fldChar w:fldCharType="separate"/>
      </w:r>
      <w:r>
        <w:rPr>
          <w:rFonts w:hint="eastAsia"/>
          <w:sz w:val="28"/>
          <w:szCs w:val="28"/>
        </w:rPr>
        <w:t>第三章 询价须知</w:t>
      </w:r>
      <w:r>
        <w:rPr>
          <w:sz w:val="28"/>
          <w:szCs w:val="28"/>
        </w:rPr>
        <w:tab/>
      </w:r>
      <w:r>
        <w:rPr>
          <w:sz w:val="28"/>
          <w:szCs w:val="28"/>
        </w:rPr>
        <w:fldChar w:fldCharType="begin"/>
      </w:r>
      <w:r>
        <w:rPr>
          <w:sz w:val="28"/>
          <w:szCs w:val="28"/>
        </w:rPr>
        <w:instrText xml:space="preserve"> PAGEREF _Toc31253 \h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24"/>
        <w:tabs>
          <w:tab w:val="right" w:leader="dot" w:pos="8306"/>
          <w:tab w:val="clear" w:pos="8299"/>
        </w:tabs>
        <w:spacing w:line="480" w:lineRule="auto"/>
        <w:rPr>
          <w:sz w:val="28"/>
          <w:szCs w:val="28"/>
        </w:rPr>
      </w:pPr>
      <w:r>
        <w:fldChar w:fldCharType="begin"/>
      </w:r>
      <w:r>
        <w:instrText xml:space="preserve"> HYPERLINK \l "_Toc4423" </w:instrText>
      </w:r>
      <w:r>
        <w:fldChar w:fldCharType="separate"/>
      </w:r>
      <w:r>
        <w:rPr>
          <w:rFonts w:hint="eastAsia"/>
          <w:sz w:val="28"/>
          <w:szCs w:val="28"/>
        </w:rPr>
        <w:t>第四章 合同格式</w:t>
      </w:r>
      <w:r>
        <w:rPr>
          <w:sz w:val="28"/>
          <w:szCs w:val="28"/>
        </w:rPr>
        <w:tab/>
      </w:r>
      <w:r>
        <w:rPr>
          <w:sz w:val="28"/>
          <w:szCs w:val="28"/>
        </w:rPr>
        <w:fldChar w:fldCharType="begin"/>
      </w:r>
      <w:r>
        <w:rPr>
          <w:sz w:val="28"/>
          <w:szCs w:val="28"/>
        </w:rPr>
        <w:instrText xml:space="preserve"> PAGEREF _Toc4423 \h </w:instrText>
      </w:r>
      <w:r>
        <w:rPr>
          <w:sz w:val="28"/>
          <w:szCs w:val="28"/>
        </w:rPr>
        <w:fldChar w:fldCharType="separate"/>
      </w:r>
      <w:r>
        <w:rPr>
          <w:sz w:val="28"/>
          <w:szCs w:val="28"/>
        </w:rPr>
        <w:t>25</w:t>
      </w:r>
      <w:r>
        <w:rPr>
          <w:sz w:val="28"/>
          <w:szCs w:val="28"/>
        </w:rPr>
        <w:fldChar w:fldCharType="end"/>
      </w:r>
      <w:r>
        <w:rPr>
          <w:sz w:val="28"/>
          <w:szCs w:val="28"/>
        </w:rPr>
        <w:fldChar w:fldCharType="end"/>
      </w:r>
    </w:p>
    <w:p>
      <w:pPr>
        <w:pStyle w:val="24"/>
        <w:tabs>
          <w:tab w:val="right" w:leader="dot" w:pos="8306"/>
          <w:tab w:val="clear" w:pos="8299"/>
        </w:tabs>
        <w:spacing w:line="480" w:lineRule="auto"/>
        <w:rPr>
          <w:sz w:val="28"/>
          <w:szCs w:val="28"/>
        </w:rPr>
      </w:pPr>
      <w:r>
        <w:fldChar w:fldCharType="begin"/>
      </w:r>
      <w:r>
        <w:instrText xml:space="preserve"> HYPERLINK \l "_Toc30130" </w:instrText>
      </w:r>
      <w:r>
        <w:fldChar w:fldCharType="separate"/>
      </w:r>
      <w:r>
        <w:rPr>
          <w:rFonts w:hint="eastAsia"/>
          <w:sz w:val="28"/>
          <w:szCs w:val="28"/>
        </w:rPr>
        <w:t>第五章 响应文件格式</w:t>
      </w:r>
      <w:r>
        <w:rPr>
          <w:sz w:val="28"/>
          <w:szCs w:val="28"/>
        </w:rPr>
        <w:tab/>
      </w:r>
      <w:r>
        <w:rPr>
          <w:sz w:val="28"/>
          <w:szCs w:val="28"/>
        </w:rPr>
        <w:fldChar w:fldCharType="begin"/>
      </w:r>
      <w:r>
        <w:rPr>
          <w:sz w:val="28"/>
          <w:szCs w:val="28"/>
        </w:rPr>
        <w:instrText xml:space="preserve"> PAGEREF _Toc30130 \h </w:instrText>
      </w:r>
      <w:r>
        <w:rPr>
          <w:sz w:val="28"/>
          <w:szCs w:val="28"/>
        </w:rPr>
        <w:fldChar w:fldCharType="separate"/>
      </w:r>
      <w:r>
        <w:rPr>
          <w:sz w:val="28"/>
          <w:szCs w:val="28"/>
        </w:rPr>
        <w:t>32</w:t>
      </w:r>
      <w:r>
        <w:rPr>
          <w:sz w:val="28"/>
          <w:szCs w:val="28"/>
        </w:rPr>
        <w:fldChar w:fldCharType="end"/>
      </w:r>
      <w:r>
        <w:rPr>
          <w:sz w:val="28"/>
          <w:szCs w:val="28"/>
        </w:rPr>
        <w:fldChar w:fldCharType="end"/>
      </w:r>
    </w:p>
    <w:p>
      <w:pPr>
        <w:pStyle w:val="2"/>
        <w:spacing w:line="480" w:lineRule="auto"/>
        <w:ind w:firstLine="560" w:firstLineChars="200"/>
        <w:jc w:val="left"/>
        <w:rPr>
          <w:rFonts w:ascii="宋体" w:hAnsi="宋体"/>
          <w:sz w:val="36"/>
          <w:szCs w:val="36"/>
        </w:rPr>
      </w:pPr>
      <w:r>
        <w:rPr>
          <w:rFonts w:ascii="宋体" w:hAnsi="宋体"/>
          <w:sz w:val="28"/>
          <w:szCs w:val="28"/>
        </w:rPr>
        <w:fldChar w:fldCharType="end"/>
      </w:r>
    </w:p>
    <w:p>
      <w:pPr>
        <w:pStyle w:val="2"/>
        <w:ind w:firstLine="0" w:firstLineChars="0"/>
        <w:jc w:val="left"/>
        <w:rPr>
          <w:rFonts w:ascii="宋体" w:hAnsi="宋体"/>
          <w:sz w:val="28"/>
          <w:szCs w:val="28"/>
        </w:rPr>
      </w:pPr>
      <w:r>
        <w:rPr>
          <w:rFonts w:ascii="宋体" w:hAnsi="宋体"/>
          <w:sz w:val="28"/>
          <w:szCs w:val="28"/>
        </w:rPr>
        <w:br w:type="column"/>
      </w:r>
    </w:p>
    <w:p>
      <w:pPr>
        <w:pStyle w:val="3"/>
        <w:jc w:val="center"/>
        <w:rPr>
          <w:rFonts w:ascii="宋体" w:hAnsi="宋体" w:cs="宋体"/>
          <w:kern w:val="28"/>
          <w:sz w:val="36"/>
          <w:szCs w:val="36"/>
        </w:rPr>
      </w:pPr>
      <w:bookmarkStart w:id="1" w:name="_Toc22334"/>
      <w:r>
        <w:rPr>
          <w:rFonts w:hint="eastAsia"/>
          <w:sz w:val="36"/>
          <w:szCs w:val="36"/>
        </w:rPr>
        <w:t>第一章</w:t>
      </w:r>
      <w:r>
        <w:rPr>
          <w:sz w:val="36"/>
          <w:szCs w:val="36"/>
        </w:rPr>
        <w:t xml:space="preserve">  </w:t>
      </w:r>
      <w:r>
        <w:rPr>
          <w:rFonts w:hint="eastAsia"/>
          <w:sz w:val="36"/>
          <w:szCs w:val="36"/>
        </w:rPr>
        <w:t>询价公告</w:t>
      </w:r>
      <w:bookmarkEnd w:id="1"/>
    </w:p>
    <w:p>
      <w:pPr>
        <w:spacing w:line="360" w:lineRule="auto"/>
        <w:ind w:firstLine="420" w:firstLineChars="200"/>
        <w:jc w:val="left"/>
        <w:rPr>
          <w:rFonts w:ascii="宋体" w:hAnsi="宋体" w:cs="宋体"/>
          <w:kern w:val="28"/>
        </w:rPr>
      </w:pPr>
      <w:r>
        <w:rPr>
          <w:rFonts w:hint="eastAsia" w:ascii="宋体" w:hAnsi="宋体" w:cs="宋体"/>
          <w:kern w:val="28"/>
        </w:rPr>
        <w:t>广西南宁技师学院（以下简称“采购人”）对广西南宁技师学院202</w:t>
      </w:r>
      <w:r>
        <w:rPr>
          <w:rFonts w:hint="eastAsia" w:ascii="宋体" w:hAnsi="宋体" w:cs="宋体"/>
          <w:kern w:val="28"/>
          <w:lang w:val="en-US" w:eastAsia="zh-CN"/>
        </w:rPr>
        <w:t>5</w:t>
      </w:r>
      <w:r>
        <w:rPr>
          <w:rFonts w:hint="eastAsia" w:ascii="宋体" w:hAnsi="宋体" w:cs="宋体"/>
          <w:kern w:val="28"/>
        </w:rPr>
        <w:t>年各校区变压器维保服务采购项目以询价方式采购，欢迎符合资格条件的供应商参加。</w:t>
      </w:r>
    </w:p>
    <w:p>
      <w:pPr>
        <w:spacing w:line="360" w:lineRule="auto"/>
        <w:ind w:firstLine="420" w:firstLineChars="200"/>
        <w:rPr>
          <w:rFonts w:ascii="宋体" w:hAnsi="宋体"/>
          <w:kern w:val="28"/>
        </w:rPr>
      </w:pPr>
      <w:r>
        <w:rPr>
          <w:rFonts w:hint="eastAsia" w:ascii="宋体" w:hAnsi="宋体" w:cs="宋体"/>
          <w:kern w:val="28"/>
        </w:rPr>
        <w:t>一、采购项目编号：</w:t>
      </w:r>
      <w:r>
        <w:rPr>
          <w:rFonts w:hint="eastAsia" w:ascii="宋体" w:hAnsi="宋体" w:cs="宋体"/>
          <w:kern w:val="28"/>
          <w:highlight w:val="none"/>
        </w:rPr>
        <w:t>GXNNJSXY202</w:t>
      </w:r>
      <w:r>
        <w:rPr>
          <w:rFonts w:hint="eastAsia" w:ascii="宋体" w:hAnsi="宋体" w:cs="宋体"/>
          <w:kern w:val="28"/>
          <w:highlight w:val="none"/>
          <w:lang w:val="en-US" w:eastAsia="zh-CN"/>
        </w:rPr>
        <w:t>5013</w:t>
      </w:r>
      <w:r>
        <w:rPr>
          <w:rFonts w:hint="eastAsia" w:ascii="宋体" w:hAnsi="宋体" w:cs="宋体"/>
          <w:kern w:val="28"/>
          <w:highlight w:val="none"/>
        </w:rPr>
        <w:t>HQ0</w:t>
      </w:r>
      <w:r>
        <w:rPr>
          <w:rFonts w:hint="eastAsia" w:ascii="宋体" w:hAnsi="宋体" w:cs="宋体"/>
          <w:kern w:val="28"/>
          <w:highlight w:val="none"/>
          <w:lang w:val="en-US" w:eastAsia="zh-CN"/>
        </w:rPr>
        <w:t>1</w:t>
      </w:r>
      <w:r>
        <w:rPr>
          <w:rFonts w:hint="eastAsia" w:ascii="宋体" w:hAnsi="宋体" w:cs="宋体"/>
          <w:kern w:val="28"/>
          <w:highlight w:val="none"/>
        </w:rPr>
        <w:t>C</w:t>
      </w:r>
    </w:p>
    <w:p>
      <w:pPr>
        <w:spacing w:line="360" w:lineRule="auto"/>
        <w:ind w:firstLine="420" w:firstLineChars="200"/>
        <w:rPr>
          <w:rFonts w:ascii="宋体" w:hAnsi="宋体" w:cs="宋体"/>
        </w:rPr>
      </w:pPr>
      <w:r>
        <w:rPr>
          <w:rFonts w:hint="eastAsia" w:ascii="宋体" w:hAnsi="宋体" w:cs="宋体"/>
          <w:kern w:val="28"/>
        </w:rPr>
        <w:t>二、项目名称：</w:t>
      </w:r>
      <w:r>
        <w:rPr>
          <w:rFonts w:hint="eastAsia" w:ascii="宋体" w:hAnsi="宋体" w:cs="宋体"/>
        </w:rPr>
        <w:t>广西南宁技师学院202</w:t>
      </w:r>
      <w:r>
        <w:rPr>
          <w:rFonts w:hint="eastAsia" w:ascii="宋体" w:hAnsi="宋体" w:cs="宋体"/>
          <w:lang w:val="en-US" w:eastAsia="zh-CN"/>
        </w:rPr>
        <w:t>5</w:t>
      </w:r>
      <w:r>
        <w:rPr>
          <w:rFonts w:hint="eastAsia" w:ascii="宋体" w:hAnsi="宋体" w:cs="宋体"/>
        </w:rPr>
        <w:t>年</w:t>
      </w:r>
      <w:r>
        <w:rPr>
          <w:rFonts w:hint="eastAsia" w:ascii="宋体" w:hAnsi="宋体" w:cs="宋体"/>
          <w:kern w:val="28"/>
        </w:rPr>
        <w:t>各校区变压器维保</w:t>
      </w:r>
      <w:r>
        <w:rPr>
          <w:rFonts w:hint="eastAsia" w:ascii="宋体" w:hAnsi="宋体" w:cs="宋体"/>
        </w:rPr>
        <w:t>服务</w:t>
      </w:r>
    </w:p>
    <w:p>
      <w:pPr>
        <w:spacing w:line="360" w:lineRule="auto"/>
        <w:ind w:firstLine="420" w:firstLineChars="200"/>
        <w:rPr>
          <w:rFonts w:ascii="宋体" w:hAnsi="宋体"/>
          <w:kern w:val="28"/>
          <w:highlight w:val="yellow"/>
        </w:rPr>
      </w:pPr>
      <w:r>
        <w:rPr>
          <w:rFonts w:hint="eastAsia" w:ascii="宋体" w:hAnsi="宋体" w:cs="宋体"/>
          <w:kern w:val="28"/>
        </w:rPr>
        <w:t>三、采购预算：</w:t>
      </w:r>
      <w:r>
        <w:rPr>
          <w:rFonts w:ascii="宋体" w:hAnsi="宋体"/>
          <w:kern w:val="28"/>
        </w:rPr>
        <w:t xml:space="preserve"> </w:t>
      </w:r>
      <w:r>
        <w:rPr>
          <w:rFonts w:ascii="宋体" w:hAnsi="宋体"/>
          <w:kern w:val="28"/>
          <w:highlight w:val="none"/>
          <w:u w:val="single"/>
        </w:rPr>
        <w:t xml:space="preserve"> </w:t>
      </w:r>
      <w:r>
        <w:rPr>
          <w:rFonts w:hint="eastAsia" w:ascii="宋体" w:hAnsi="宋体"/>
          <w:kern w:val="28"/>
          <w:highlight w:val="none"/>
          <w:u w:val="single"/>
        </w:rPr>
        <w:t>￥</w:t>
      </w:r>
      <w:r>
        <w:rPr>
          <w:rFonts w:hint="eastAsia" w:ascii="宋体" w:hAnsi="宋体"/>
          <w:kern w:val="28"/>
          <w:highlight w:val="none"/>
          <w:u w:val="single"/>
          <w:lang w:val="en-US" w:eastAsia="zh-CN"/>
        </w:rPr>
        <w:t>75</w:t>
      </w:r>
      <w:r>
        <w:rPr>
          <w:rFonts w:hint="eastAsia" w:ascii="宋体" w:hAnsi="宋体"/>
          <w:kern w:val="28"/>
          <w:highlight w:val="none"/>
          <w:u w:val="single"/>
        </w:rPr>
        <w:t>000</w:t>
      </w:r>
      <w:r>
        <w:rPr>
          <w:rFonts w:ascii="宋体" w:hAnsi="宋体"/>
          <w:kern w:val="28"/>
          <w:highlight w:val="none"/>
          <w:u w:val="single"/>
        </w:rPr>
        <w:t xml:space="preserve"> </w:t>
      </w:r>
      <w:r>
        <w:rPr>
          <w:rFonts w:hint="eastAsia" w:ascii="宋体" w:hAnsi="宋体" w:cs="宋体"/>
          <w:highlight w:val="none"/>
        </w:rPr>
        <w:t>元</w:t>
      </w:r>
    </w:p>
    <w:p>
      <w:pPr>
        <w:autoSpaceDE w:val="0"/>
        <w:autoSpaceDN w:val="0"/>
        <w:adjustRightInd w:val="0"/>
        <w:snapToGrid w:val="0"/>
        <w:spacing w:line="360" w:lineRule="auto"/>
        <w:ind w:firstLine="420" w:firstLineChars="200"/>
        <w:rPr>
          <w:rFonts w:ascii="宋体" w:hAnsi="宋体" w:cs="宋体"/>
          <w:lang w:val="zh-CN"/>
        </w:rPr>
      </w:pPr>
      <w:r>
        <w:rPr>
          <w:rFonts w:hint="eastAsia" w:ascii="宋体" w:hAnsi="宋体" w:cs="宋体"/>
          <w:lang w:val="zh-CN"/>
        </w:rPr>
        <w:t>四、采购数量：</w:t>
      </w:r>
      <w:r>
        <w:rPr>
          <w:rFonts w:ascii="宋体" w:hAnsi="宋体" w:cs="宋体"/>
          <w:lang w:val="zh-CN"/>
        </w:rPr>
        <w:t>1</w:t>
      </w:r>
      <w:r>
        <w:rPr>
          <w:rFonts w:hint="eastAsia" w:ascii="宋体" w:hAnsi="宋体" w:cs="宋体"/>
          <w:lang w:val="zh-CN"/>
        </w:rPr>
        <w:t>批。</w:t>
      </w:r>
    </w:p>
    <w:p>
      <w:pPr>
        <w:pStyle w:val="2"/>
        <w:ind w:firstLineChars="200"/>
      </w:pPr>
      <w:r>
        <w:rPr>
          <w:rFonts w:hint="eastAsia" w:ascii="宋体" w:hAnsi="宋体" w:cs="宋体"/>
        </w:rPr>
        <w:t>五、采购方式：询价</w:t>
      </w:r>
    </w:p>
    <w:p>
      <w:pPr>
        <w:autoSpaceDE w:val="0"/>
        <w:autoSpaceDN w:val="0"/>
        <w:adjustRightInd w:val="0"/>
        <w:snapToGrid w:val="0"/>
        <w:spacing w:line="360" w:lineRule="auto"/>
        <w:ind w:firstLine="420" w:firstLineChars="200"/>
        <w:rPr>
          <w:rFonts w:ascii="宋体" w:hAnsi="宋体"/>
        </w:rPr>
      </w:pPr>
      <w:r>
        <w:rPr>
          <w:rFonts w:hint="eastAsia" w:ascii="宋体" w:hAnsi="宋体" w:cs="宋体"/>
        </w:rPr>
        <w:t>六</w:t>
      </w:r>
      <w:r>
        <w:rPr>
          <w:rFonts w:hint="eastAsia" w:ascii="宋体" w:hAnsi="宋体" w:cs="宋体"/>
          <w:lang w:val="zh-CN"/>
        </w:rPr>
        <w:t>、采购</w:t>
      </w:r>
      <w:r>
        <w:rPr>
          <w:rFonts w:hint="eastAsia" w:ascii="宋体" w:hAnsi="宋体" w:cs="宋体"/>
        </w:rPr>
        <w:t>项目内容及其它要求</w:t>
      </w:r>
    </w:p>
    <w:p>
      <w:pPr>
        <w:widowControl/>
        <w:spacing w:line="360" w:lineRule="auto"/>
        <w:ind w:firstLine="420" w:firstLineChars="200"/>
        <w:jc w:val="left"/>
        <w:rPr>
          <w:rFonts w:ascii="宋体" w:hAnsi="宋体" w:cs="宋体"/>
        </w:rPr>
      </w:pPr>
      <w:r>
        <w:rPr>
          <w:rFonts w:hint="eastAsia" w:ascii="宋体" w:hAnsi="宋体" w:cs="宋体"/>
        </w:rPr>
        <w:t>1.采购内容：详见询价文件第二部分“采购需求书”的内容。供应商须对全部采购内容进行报价，不允许只对部分内容进行报价。</w:t>
      </w:r>
    </w:p>
    <w:p>
      <w:pPr>
        <w:adjustRightInd w:val="0"/>
        <w:snapToGrid w:val="0"/>
        <w:spacing w:line="360" w:lineRule="auto"/>
        <w:ind w:firstLine="420" w:firstLineChars="200"/>
        <w:rPr>
          <w:rFonts w:ascii="宋体" w:hAnsi="宋体"/>
        </w:rPr>
      </w:pPr>
      <w:bookmarkStart w:id="2" w:name="_Hlk42690548"/>
      <w:r>
        <w:rPr>
          <w:rFonts w:hint="eastAsia" w:ascii="宋体" w:hAnsi="宋体"/>
        </w:rPr>
        <w:t>2.使用财政性资金，但本项目采购内容为集中采购目录以外且采</w:t>
      </w:r>
      <w:r>
        <w:rPr>
          <w:rFonts w:hint="eastAsia" w:ascii="宋体" w:hAnsi="宋体" w:cs="宋体"/>
        </w:rPr>
        <w:t>购限额标</w:t>
      </w:r>
      <w:r>
        <w:rPr>
          <w:rFonts w:hint="eastAsia" w:ascii="宋体" w:hAnsi="宋体"/>
        </w:rPr>
        <w:t>准以下，不纳入政府采购管理范围，由采购人按本单位的内控制度自行采购。</w:t>
      </w:r>
    </w:p>
    <w:bookmarkEnd w:id="2"/>
    <w:p>
      <w:pPr>
        <w:widowControl/>
        <w:spacing w:line="360" w:lineRule="auto"/>
        <w:ind w:firstLine="420" w:firstLineChars="200"/>
        <w:jc w:val="left"/>
        <w:rPr>
          <w:rFonts w:ascii="宋体" w:hAnsi="宋体"/>
        </w:rPr>
      </w:pPr>
      <w:r>
        <w:rPr>
          <w:rFonts w:hint="eastAsia" w:ascii="宋体" w:hAnsi="宋体" w:cs="宋体"/>
        </w:rPr>
        <w:t>3.本项目不允许提交备选方案。</w:t>
      </w:r>
    </w:p>
    <w:p>
      <w:pPr>
        <w:adjustRightInd w:val="0"/>
        <w:snapToGrid w:val="0"/>
        <w:spacing w:line="360" w:lineRule="auto"/>
        <w:ind w:firstLine="420" w:firstLineChars="200"/>
        <w:rPr>
          <w:rFonts w:ascii="宋体" w:hAnsi="宋体"/>
        </w:rPr>
      </w:pPr>
      <w:r>
        <w:rPr>
          <w:rFonts w:hint="eastAsia" w:ascii="宋体" w:hAnsi="宋体" w:cs="宋体"/>
        </w:rPr>
        <w:t>七、供应商资格条件：</w:t>
      </w:r>
    </w:p>
    <w:p>
      <w:pPr>
        <w:widowControl/>
        <w:tabs>
          <w:tab w:val="left" w:pos="420"/>
          <w:tab w:val="left" w:pos="525"/>
          <w:tab w:val="left" w:pos="9639"/>
        </w:tabs>
        <w:spacing w:line="360" w:lineRule="auto"/>
        <w:ind w:right="-6" w:rightChars="-3" w:firstLine="420" w:firstLineChars="200"/>
        <w:jc w:val="left"/>
        <w:rPr>
          <w:rFonts w:ascii="宋体" w:hAnsi="宋体"/>
        </w:rPr>
      </w:pPr>
      <w:r>
        <w:rPr>
          <w:rFonts w:hint="eastAsia" w:ascii="宋体" w:hAnsi="宋体" w:cs="宋体"/>
        </w:rPr>
        <w:t>1.具有独立承担民事责任能力的在中华人民共和国境内注册的企业法人或其他组织机构（提供营业执照复印件加盖公章）</w:t>
      </w:r>
    </w:p>
    <w:p>
      <w:pPr>
        <w:widowControl/>
        <w:tabs>
          <w:tab w:val="left" w:pos="420"/>
          <w:tab w:val="left" w:pos="525"/>
          <w:tab w:val="left" w:pos="9639"/>
        </w:tabs>
        <w:spacing w:line="360" w:lineRule="auto"/>
        <w:ind w:right="-6" w:rightChars="-3" w:firstLine="420" w:firstLineChars="200"/>
        <w:jc w:val="left"/>
        <w:rPr>
          <w:rFonts w:ascii="宋体" w:hAnsi="宋体"/>
        </w:rPr>
      </w:pPr>
      <w:r>
        <w:rPr>
          <w:rFonts w:hint="eastAsia" w:ascii="宋体" w:hAnsi="宋体" w:cs="宋体"/>
          <w:kern w:val="28"/>
        </w:rPr>
        <w:t>2.符合《中华人民共和国政府采购法》第二十二条所规定的条件</w:t>
      </w:r>
      <w:r>
        <w:rPr>
          <w:rFonts w:hint="eastAsia" w:ascii="宋体" w:hAnsi="宋体" w:cs="宋体"/>
        </w:rPr>
        <w:t>（提供</w:t>
      </w:r>
      <w:r>
        <w:rPr>
          <w:rFonts w:hint="eastAsia" w:ascii="宋体" w:hAnsi="宋体" w:cs="宋体"/>
          <w:kern w:val="28"/>
        </w:rPr>
        <w:t>《投标人资格声明函》</w:t>
      </w:r>
      <w:r>
        <w:rPr>
          <w:rFonts w:hint="eastAsia" w:ascii="宋体" w:hAnsi="宋体" w:cs="宋体"/>
        </w:rPr>
        <w:t>）</w:t>
      </w:r>
    </w:p>
    <w:p>
      <w:pPr>
        <w:pStyle w:val="122"/>
        <w:autoSpaceDE/>
        <w:autoSpaceDN/>
        <w:adjustRightInd/>
        <w:spacing w:line="400" w:lineRule="exact"/>
        <w:ind w:firstLine="420" w:firstLineChars="200"/>
        <w:rPr>
          <w:rFonts w:hint="eastAsia" w:ascii="宋体" w:hAnsi="宋体"/>
          <w:kern w:val="2"/>
          <w:sz w:val="21"/>
          <w:szCs w:val="21"/>
        </w:rPr>
      </w:pPr>
      <w:r>
        <w:rPr>
          <w:rFonts w:hint="eastAsia" w:ascii="宋体" w:hAnsi="宋体"/>
          <w:kern w:val="2"/>
          <w:sz w:val="21"/>
          <w:szCs w:val="21"/>
        </w:rPr>
        <w:t>3.本项目的特定资格要求：</w:t>
      </w:r>
    </w:p>
    <w:p>
      <w:pPr>
        <w:pStyle w:val="122"/>
        <w:autoSpaceDE/>
        <w:autoSpaceDN/>
        <w:adjustRightInd/>
        <w:spacing w:line="400" w:lineRule="exact"/>
        <w:ind w:firstLine="420" w:firstLineChars="200"/>
        <w:rPr>
          <w:rFonts w:ascii="宋体" w:hAnsi="宋体"/>
          <w:kern w:val="2"/>
          <w:sz w:val="21"/>
          <w:szCs w:val="21"/>
        </w:rPr>
      </w:pPr>
      <w:r>
        <w:rPr>
          <w:rFonts w:hint="eastAsia" w:ascii="宋体" w:hAnsi="宋体"/>
          <w:kern w:val="2"/>
          <w:sz w:val="21"/>
          <w:szCs w:val="21"/>
        </w:rPr>
        <w:t>（1）竞标人必须具备国家能源局颁发的《承装（修、试）电力设施许可证》，资质等级为三级及以上。</w:t>
      </w:r>
    </w:p>
    <w:p>
      <w:pPr>
        <w:pStyle w:val="9"/>
        <w:spacing w:line="400" w:lineRule="exact"/>
        <w:rPr>
          <w:rFonts w:ascii="宋体" w:hAnsi="宋体"/>
        </w:rPr>
      </w:pPr>
      <w:r>
        <w:rPr>
          <w:rFonts w:hint="eastAsia" w:ascii="宋体" w:hAnsi="宋体"/>
        </w:rPr>
        <w:t>（2）具备有效的《安全生产许可证》。</w:t>
      </w:r>
    </w:p>
    <w:p>
      <w:pPr>
        <w:spacing w:line="400" w:lineRule="exact"/>
        <w:ind w:firstLine="420" w:firstLineChars="200"/>
      </w:pPr>
      <w:r>
        <w:rPr>
          <w:rFonts w:hint="eastAsia" w:ascii="宋体" w:hAnsi="宋体"/>
        </w:rPr>
        <w:t>4. 本项目的特定条件：项目经理应具有</w:t>
      </w:r>
      <w:r>
        <w:rPr>
          <w:rFonts w:hint="eastAsia" w:ascii="宋体" w:hAnsi="宋体"/>
          <w:color w:val="FF0000"/>
          <w:lang w:val="en-US" w:eastAsia="zh-CN"/>
        </w:rPr>
        <w:t>二级及以上</w:t>
      </w:r>
      <w:r>
        <w:rPr>
          <w:rFonts w:hint="eastAsia" w:ascii="宋体" w:hAnsi="宋体"/>
        </w:rPr>
        <w:t>注册建造师（机电专业）和相关电力专业类中级及以上职称，具备安全生产考核合格证书（B类）证书，以上资格证书须同时具备并已取得3年及以上；项目施工专职安全员应具备有效的专职安全员安全生产考核合格证书（C类）；其他技术人员应具备与本项目需求相关的专业技术资格或职业资格。</w:t>
      </w:r>
    </w:p>
    <w:p>
      <w:pPr>
        <w:spacing w:line="360" w:lineRule="auto"/>
        <w:ind w:firstLine="420" w:firstLineChars="200"/>
        <w:rPr>
          <w:rFonts w:ascii="宋体" w:hAnsi="宋体"/>
        </w:rPr>
      </w:pPr>
    </w:p>
    <w:p>
      <w:pPr>
        <w:widowControl/>
        <w:spacing w:line="360" w:lineRule="auto"/>
        <w:ind w:firstLine="420" w:firstLineChars="200"/>
        <w:rPr>
          <w:rFonts w:ascii="宋体" w:hAnsi="宋体"/>
          <w:kern w:val="28"/>
        </w:rPr>
      </w:pPr>
      <w:r>
        <w:rPr>
          <w:rFonts w:hint="eastAsia" w:ascii="宋体" w:hAnsi="宋体" w:cs="宋体"/>
          <w:kern w:val="28"/>
        </w:rPr>
        <w:t>5.</w:t>
      </w:r>
      <w:r>
        <w:rPr>
          <w:rFonts w:hint="eastAsia" w:ascii="宋体" w:hAnsi="宋体"/>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widowControl/>
        <w:spacing w:line="360" w:lineRule="auto"/>
        <w:ind w:firstLine="420" w:firstLineChars="200"/>
        <w:rPr>
          <w:rFonts w:ascii="宋体" w:hAnsi="宋体"/>
          <w:kern w:val="28"/>
        </w:rPr>
      </w:pPr>
      <w:r>
        <w:rPr>
          <w:rFonts w:hint="eastAsia" w:ascii="宋体" w:hAnsi="宋体" w:cs="宋体"/>
          <w:kern w:val="28"/>
        </w:rPr>
        <w:t>6.</w:t>
      </w:r>
      <w:r>
        <w:rPr>
          <w:rFonts w:hint="eastAsia" w:ascii="宋体" w:hAnsi="宋体"/>
          <w:color w:val="000000"/>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本次采购活动</w:t>
      </w:r>
    </w:p>
    <w:p>
      <w:pPr>
        <w:widowControl/>
        <w:tabs>
          <w:tab w:val="left" w:pos="420"/>
          <w:tab w:val="left" w:pos="525"/>
          <w:tab w:val="left" w:pos="9639"/>
        </w:tabs>
        <w:spacing w:line="360" w:lineRule="auto"/>
        <w:ind w:right="-6" w:rightChars="-3" w:firstLine="420" w:firstLineChars="200"/>
        <w:jc w:val="left"/>
        <w:rPr>
          <w:rFonts w:ascii="宋体" w:hAnsi="宋体"/>
        </w:rPr>
      </w:pPr>
      <w:r>
        <w:rPr>
          <w:rFonts w:hint="eastAsia" w:ascii="宋体" w:hAnsi="宋体" w:cs="宋体"/>
        </w:rPr>
        <w:t>7.本项目不接受联合体投标</w:t>
      </w:r>
    </w:p>
    <w:p>
      <w:pPr>
        <w:adjustRightInd w:val="0"/>
        <w:snapToGrid w:val="0"/>
        <w:spacing w:line="360" w:lineRule="auto"/>
        <w:ind w:firstLine="420" w:firstLineChars="200"/>
        <w:rPr>
          <w:rFonts w:ascii="宋体" w:hAnsi="宋体"/>
        </w:rPr>
      </w:pPr>
      <w:r>
        <w:rPr>
          <w:rFonts w:hint="eastAsia" w:ascii="宋体" w:hAnsi="宋体" w:cs="宋体"/>
        </w:rPr>
        <w:t>八、响应文件递交时间：202</w:t>
      </w:r>
      <w:r>
        <w:rPr>
          <w:rFonts w:hint="eastAsia" w:ascii="宋体" w:hAnsi="宋体" w:cs="宋体"/>
          <w:lang w:val="en-US" w:eastAsia="zh-CN"/>
        </w:rPr>
        <w:t>5</w:t>
      </w:r>
      <w:r>
        <w:rPr>
          <w:rFonts w:hint="eastAsia" w:ascii="宋体" w:hAnsi="宋体" w:cs="宋体"/>
        </w:rPr>
        <w:t>年</w:t>
      </w:r>
      <w:r>
        <w:rPr>
          <w:rFonts w:hint="eastAsia" w:ascii="宋体" w:hAnsi="宋体" w:cs="宋体"/>
          <w:lang w:val="en-US" w:eastAsia="zh-CN"/>
        </w:rPr>
        <w:t>7</w:t>
      </w:r>
      <w:r>
        <w:rPr>
          <w:rFonts w:hint="eastAsia" w:ascii="宋体" w:hAnsi="宋体" w:cs="宋体"/>
        </w:rPr>
        <w:t xml:space="preserve"> 月</w:t>
      </w:r>
      <w:r>
        <w:rPr>
          <w:rFonts w:hint="eastAsia" w:ascii="宋体" w:hAnsi="宋体" w:cs="宋体"/>
          <w:highlight w:val="yellow"/>
          <w:lang w:val="en-US" w:eastAsia="zh-CN"/>
        </w:rPr>
        <w:t xml:space="preserve">  15</w:t>
      </w:r>
      <w:r>
        <w:rPr>
          <w:rFonts w:hint="eastAsia" w:ascii="宋体" w:hAnsi="宋体" w:cs="宋体"/>
          <w:highlight w:val="yellow"/>
        </w:rPr>
        <w:t xml:space="preserve">  日</w:t>
      </w:r>
      <w:r>
        <w:rPr>
          <w:rFonts w:hint="eastAsia" w:ascii="宋体" w:hAnsi="宋体" w:cs="宋体"/>
        </w:rPr>
        <w:t>上午</w:t>
      </w:r>
      <w:r>
        <w:rPr>
          <w:rFonts w:hint="eastAsia" w:ascii="宋体" w:hAnsi="宋体" w:cs="宋体"/>
          <w:lang w:val="en-US" w:eastAsia="zh-CN"/>
        </w:rPr>
        <w:t>9时至12时</w:t>
      </w:r>
      <w:r>
        <w:rPr>
          <w:rFonts w:hint="eastAsia" w:ascii="宋体" w:hAnsi="宋体" w:cs="宋体"/>
        </w:rPr>
        <w:t>。</w:t>
      </w:r>
    </w:p>
    <w:p>
      <w:pPr>
        <w:adjustRightInd w:val="0"/>
        <w:snapToGrid w:val="0"/>
        <w:spacing w:line="360" w:lineRule="auto"/>
        <w:ind w:firstLine="420" w:firstLineChars="200"/>
        <w:rPr>
          <w:rFonts w:ascii="宋体" w:hAnsi="宋体"/>
        </w:rPr>
      </w:pPr>
      <w:r>
        <w:rPr>
          <w:rFonts w:hint="eastAsia" w:ascii="宋体" w:hAnsi="宋体" w:cs="宋体"/>
        </w:rPr>
        <w:t>九、响应文件</w:t>
      </w:r>
      <w:r>
        <w:rPr>
          <w:rFonts w:hint="eastAsia" w:ascii="宋体" w:hAnsi="宋体" w:cs="宋体"/>
          <w:lang w:val="zh-CN"/>
        </w:rPr>
        <w:t>递交</w:t>
      </w:r>
      <w:r>
        <w:rPr>
          <w:rFonts w:hint="eastAsia" w:ascii="宋体" w:hAnsi="宋体" w:cs="宋体"/>
        </w:rPr>
        <w:t>地点：南宁市大学西路157号广西南宁技师学院综合楼16楼1606室，不接收邮寄方式递交的响应文件。</w:t>
      </w:r>
    </w:p>
    <w:p>
      <w:pPr>
        <w:adjustRightInd w:val="0"/>
        <w:snapToGrid w:val="0"/>
        <w:spacing w:line="360" w:lineRule="auto"/>
        <w:ind w:firstLine="420" w:firstLineChars="200"/>
        <w:rPr>
          <w:rFonts w:ascii="宋体" w:hAnsi="宋体"/>
        </w:rPr>
      </w:pPr>
      <w:r>
        <w:rPr>
          <w:rFonts w:hint="eastAsia" w:ascii="宋体" w:hAnsi="宋体" w:cs="宋体"/>
        </w:rPr>
        <w:t>十、联系事项</w:t>
      </w:r>
    </w:p>
    <w:p>
      <w:pPr>
        <w:adjustRightInd w:val="0"/>
        <w:snapToGrid w:val="0"/>
        <w:spacing w:line="360" w:lineRule="auto"/>
        <w:ind w:firstLine="420" w:firstLineChars="200"/>
        <w:rPr>
          <w:rFonts w:ascii="宋体" w:hAnsi="宋体"/>
        </w:rPr>
      </w:pPr>
      <w:r>
        <w:rPr>
          <w:rFonts w:hint="eastAsia" w:ascii="宋体" w:hAnsi="宋体" w:cs="宋体"/>
        </w:rPr>
        <w:t>采购人：广西南宁技师学院</w:t>
      </w:r>
      <w:r>
        <w:rPr>
          <w:rFonts w:ascii="宋体" w:hAnsi="宋体" w:cs="宋体"/>
        </w:rPr>
        <w:t xml:space="preserve"> </w:t>
      </w:r>
    </w:p>
    <w:p>
      <w:pPr>
        <w:adjustRightInd w:val="0"/>
        <w:snapToGrid w:val="0"/>
        <w:spacing w:line="360" w:lineRule="auto"/>
        <w:ind w:firstLine="420" w:firstLineChars="200"/>
        <w:rPr>
          <w:rFonts w:ascii="宋体" w:hAnsi="宋体"/>
        </w:rPr>
      </w:pPr>
      <w:r>
        <w:rPr>
          <w:rFonts w:hint="eastAsia" w:ascii="宋体" w:hAnsi="宋体" w:cs="宋体"/>
        </w:rPr>
        <w:t>联系地址：南宁市大学西路157号</w:t>
      </w:r>
    </w:p>
    <w:p>
      <w:pPr>
        <w:adjustRightInd w:val="0"/>
        <w:snapToGrid w:val="0"/>
        <w:spacing w:line="360" w:lineRule="auto"/>
        <w:ind w:firstLine="420" w:firstLineChars="200"/>
        <w:rPr>
          <w:rFonts w:ascii="宋体" w:hAnsi="宋体" w:cs="宋体"/>
        </w:rPr>
      </w:pPr>
      <w:r>
        <w:rPr>
          <w:rFonts w:hint="eastAsia" w:ascii="宋体" w:hAnsi="宋体" w:cs="宋体"/>
        </w:rPr>
        <w:t>联系人：</w:t>
      </w:r>
      <w:r>
        <w:rPr>
          <w:rFonts w:hint="eastAsia" w:ascii="宋体" w:hAnsi="宋体" w:cs="宋体"/>
          <w:lang w:val="en-US" w:eastAsia="zh-CN"/>
        </w:rPr>
        <w:t>杨</w:t>
      </w:r>
      <w:r>
        <w:rPr>
          <w:rFonts w:hint="eastAsia" w:ascii="宋体" w:hAnsi="宋体" w:cs="宋体"/>
        </w:rPr>
        <w:t>老师，联系电话：07</w:t>
      </w:r>
      <w:r>
        <w:rPr>
          <w:rFonts w:ascii="宋体" w:hAnsi="宋体" w:cs="宋体"/>
        </w:rPr>
        <w:t>71</w:t>
      </w:r>
      <w:r>
        <w:rPr>
          <w:rFonts w:hint="eastAsia" w:ascii="宋体" w:hAnsi="宋体" w:cs="宋体"/>
        </w:rPr>
        <w:t>-</w:t>
      </w:r>
      <w:r>
        <w:rPr>
          <w:rFonts w:ascii="宋体" w:hAnsi="宋体" w:cs="宋体"/>
        </w:rPr>
        <w:t>4928055</w:t>
      </w:r>
    </w:p>
    <w:p>
      <w:pPr>
        <w:adjustRightInd w:val="0"/>
        <w:snapToGrid w:val="0"/>
        <w:spacing w:line="360" w:lineRule="auto"/>
        <w:ind w:left="4620" w:leftChars="700" w:hanging="3150" w:hangingChars="1500"/>
        <w:jc w:val="left"/>
        <w:rPr>
          <w:rFonts w:ascii="宋体" w:hAnsi="宋体"/>
          <w:u w:val="single"/>
        </w:rPr>
      </w:pPr>
      <w:r>
        <w:rPr>
          <w:rFonts w:ascii="宋体" w:hAnsi="宋体" w:cs="宋体"/>
        </w:rPr>
        <w:t xml:space="preserve">                                                                                   </w:t>
      </w:r>
      <w:r>
        <w:rPr>
          <w:rFonts w:hint="eastAsia" w:ascii="宋体" w:hAnsi="宋体" w:cs="宋体"/>
        </w:rPr>
        <w:t>发布人：广西南宁技师学院</w:t>
      </w:r>
    </w:p>
    <w:p>
      <w:pPr>
        <w:spacing w:line="360" w:lineRule="auto"/>
        <w:ind w:right="840" w:firstLine="420" w:firstLineChars="200"/>
        <w:jc w:val="right"/>
        <w:rPr>
          <w:rFonts w:ascii="宋体" w:hAnsi="宋体"/>
        </w:rPr>
      </w:pPr>
      <w:r>
        <w:rPr>
          <w:rFonts w:hint="eastAsia" w:ascii="宋体" w:hAnsi="宋体" w:cs="宋体"/>
        </w:rPr>
        <w:t>发布时间：</w:t>
      </w:r>
      <w:r>
        <w:rPr>
          <w:rFonts w:hint="eastAsia" w:ascii="宋体" w:hAnsi="宋体"/>
        </w:rPr>
        <w:t>202</w:t>
      </w:r>
      <w:r>
        <w:rPr>
          <w:rFonts w:hint="eastAsia" w:ascii="宋体" w:hAnsi="宋体"/>
          <w:lang w:val="en-US" w:eastAsia="zh-CN"/>
        </w:rPr>
        <w:t>5</w:t>
      </w:r>
      <w:r>
        <w:rPr>
          <w:rFonts w:hint="eastAsia" w:ascii="宋体" w:hAnsi="宋体"/>
        </w:rPr>
        <w:t xml:space="preserve">年 </w:t>
      </w:r>
      <w:r>
        <w:rPr>
          <w:rFonts w:hint="eastAsia" w:ascii="宋体" w:hAnsi="宋体"/>
          <w:lang w:val="en-US" w:eastAsia="zh-CN"/>
        </w:rPr>
        <w:t>7</w:t>
      </w:r>
      <w:r>
        <w:rPr>
          <w:rFonts w:hint="eastAsia" w:ascii="宋体" w:hAnsi="宋体"/>
        </w:rPr>
        <w:t xml:space="preserve"> 月 </w:t>
      </w:r>
      <w:r>
        <w:rPr>
          <w:rFonts w:hint="eastAsia" w:ascii="宋体" w:hAnsi="宋体"/>
          <w:lang w:val="en-US" w:eastAsia="zh-CN"/>
        </w:rPr>
        <w:t>9</w:t>
      </w:r>
      <w:r>
        <w:rPr>
          <w:rFonts w:hint="eastAsia" w:ascii="宋体" w:hAnsi="宋体"/>
        </w:rPr>
        <w:t xml:space="preserve"> 日</w:t>
      </w:r>
    </w:p>
    <w:p/>
    <w:p>
      <w:pPr>
        <w:pStyle w:val="2"/>
        <w:ind w:firstLine="210"/>
      </w:pPr>
      <w:bookmarkStart w:id="97" w:name="_GoBack"/>
      <w:bookmarkEnd w:id="97"/>
    </w:p>
    <w:p>
      <w:pPr>
        <w:pStyle w:val="2"/>
        <w:ind w:firstLine="210"/>
      </w:pPr>
    </w:p>
    <w:p>
      <w:pPr>
        <w:pStyle w:val="2"/>
        <w:ind w:firstLine="210"/>
      </w:pPr>
    </w:p>
    <w:p>
      <w:pPr>
        <w:pStyle w:val="2"/>
        <w:ind w:firstLine="210"/>
      </w:pPr>
    </w:p>
    <w:p>
      <w:pPr>
        <w:pStyle w:val="2"/>
        <w:ind w:firstLine="210"/>
      </w:pPr>
    </w:p>
    <w:p>
      <w:pPr>
        <w:pStyle w:val="3"/>
        <w:rPr>
          <w:sz w:val="36"/>
          <w:szCs w:val="36"/>
        </w:rPr>
      </w:pPr>
      <w:bookmarkStart w:id="3" w:name="_Toc10615"/>
      <w:bookmarkStart w:id="4" w:name="_Toc23927923"/>
    </w:p>
    <w:p>
      <w:pPr>
        <w:pStyle w:val="3"/>
        <w:jc w:val="center"/>
        <w:rPr>
          <w:sz w:val="36"/>
          <w:szCs w:val="36"/>
        </w:rPr>
      </w:pPr>
    </w:p>
    <w:p/>
    <w:p>
      <w:pPr>
        <w:pStyle w:val="3"/>
        <w:jc w:val="center"/>
        <w:rPr>
          <w:sz w:val="36"/>
          <w:szCs w:val="36"/>
        </w:rPr>
      </w:pPr>
    </w:p>
    <w:p>
      <w:pPr>
        <w:pStyle w:val="3"/>
        <w:jc w:val="center"/>
        <w:rPr>
          <w:sz w:val="36"/>
          <w:szCs w:val="36"/>
        </w:rPr>
      </w:pPr>
      <w:r>
        <w:rPr>
          <w:rFonts w:hint="eastAsia"/>
          <w:sz w:val="36"/>
          <w:szCs w:val="36"/>
        </w:rPr>
        <w:t>第二章　采购需求书</w:t>
      </w:r>
      <w:bookmarkEnd w:id="3"/>
    </w:p>
    <w:p>
      <w:pPr>
        <w:tabs>
          <w:tab w:val="left" w:pos="420"/>
          <w:tab w:val="left" w:pos="540"/>
          <w:tab w:val="left" w:pos="574"/>
        </w:tabs>
        <w:spacing w:line="360" w:lineRule="auto"/>
        <w:ind w:left="420"/>
        <w:outlineLvl w:val="0"/>
        <w:rPr>
          <w:rFonts w:ascii="宋体" w:hAnsi="宋体" w:cs="宋体"/>
          <w:b/>
          <w:bCs/>
        </w:rPr>
      </w:pPr>
      <w:bookmarkStart w:id="5" w:name="_Toc20382"/>
      <w:r>
        <w:rPr>
          <w:rFonts w:ascii="宋体" w:hAnsi="宋体" w:cs="宋体"/>
          <w:b/>
          <w:bCs/>
        </w:rPr>
        <w:t>一、</w:t>
      </w:r>
      <w:r>
        <w:rPr>
          <w:rFonts w:hint="eastAsia" w:ascii="宋体" w:hAnsi="宋体" w:cs="宋体"/>
          <w:b/>
          <w:bCs/>
        </w:rPr>
        <w:t>说明：</w:t>
      </w:r>
      <w:bookmarkEnd w:id="5"/>
    </w:p>
    <w:p>
      <w:pPr>
        <w:tabs>
          <w:tab w:val="left" w:pos="425"/>
        </w:tabs>
        <w:adjustRightInd w:val="0"/>
        <w:snapToGrid w:val="0"/>
        <w:spacing w:line="400" w:lineRule="exact"/>
        <w:ind w:firstLine="422" w:firstLineChars="200"/>
        <w:rPr>
          <w:rFonts w:ascii="宋体" w:hAnsi="宋体" w:cs="Times New Roman"/>
          <w:b/>
          <w:bCs/>
          <w:u w:val="double"/>
        </w:rPr>
      </w:pPr>
      <w:r>
        <w:rPr>
          <w:rFonts w:hint="eastAsia" w:ascii="宋体" w:hAnsi="宋体" w:cs="宋体"/>
          <w:b/>
          <w:bCs/>
          <w:u w:val="double"/>
        </w:rPr>
        <w:t>本项目最高限价为人民币</w:t>
      </w:r>
      <w:r>
        <w:rPr>
          <w:rFonts w:hint="eastAsia" w:ascii="宋体" w:hAnsi="宋体" w:cs="宋体"/>
          <w:b/>
          <w:bCs/>
          <w:u w:val="double"/>
          <w:lang w:val="en-US" w:eastAsia="zh-CN"/>
        </w:rPr>
        <w:t>75</w:t>
      </w:r>
      <w:r>
        <w:rPr>
          <w:rFonts w:hint="eastAsia" w:ascii="宋体" w:hAnsi="宋体" w:cs="宋体"/>
          <w:b/>
          <w:bCs/>
          <w:highlight w:val="yellow"/>
          <w:u w:val="double"/>
        </w:rPr>
        <w:t>000</w:t>
      </w:r>
      <w:r>
        <w:rPr>
          <w:rFonts w:hint="eastAsia" w:ascii="宋体" w:hAnsi="宋体" w:cs="宋体"/>
          <w:b/>
          <w:bCs/>
          <w:highlight w:val="yellow"/>
          <w:u w:val="double"/>
          <w:lang w:val="en-US" w:eastAsia="zh-CN"/>
        </w:rPr>
        <w:t>.00</w:t>
      </w:r>
      <w:r>
        <w:rPr>
          <w:rFonts w:hint="eastAsia" w:ascii="宋体" w:hAnsi="宋体" w:cs="宋体"/>
          <w:b/>
          <w:bCs/>
          <w:u w:val="double"/>
        </w:rPr>
        <w:t>元，供应商的总报价不得超出其最高限价，否则视为无效投标。</w:t>
      </w:r>
    </w:p>
    <w:p>
      <w:pPr>
        <w:pStyle w:val="2"/>
        <w:ind w:firstLine="210"/>
      </w:pPr>
    </w:p>
    <w:p>
      <w:pPr>
        <w:snapToGrid w:val="0"/>
        <w:spacing w:line="360" w:lineRule="auto"/>
        <w:ind w:firstLine="420" w:firstLineChars="200"/>
        <w:rPr>
          <w:rFonts w:ascii="宋体" w:hAnsi="Times New Roman" w:cs="宋体"/>
        </w:rPr>
      </w:pPr>
      <w:r>
        <w:rPr>
          <w:rFonts w:hint="eastAsia" w:ascii="宋体" w:hAnsi="Times New Roman" w:cs="宋体"/>
        </w:rPr>
        <w:t>1.供应商须对本项目的服务进行整体响应，任何只对项目其中一部分内容进行的响应都被视为无效投标。</w:t>
      </w:r>
    </w:p>
    <w:p>
      <w:pPr>
        <w:snapToGrid w:val="0"/>
        <w:spacing w:line="360" w:lineRule="auto"/>
        <w:ind w:firstLine="420" w:firstLineChars="200"/>
        <w:rPr>
          <w:rFonts w:ascii="宋体" w:hAnsi="Times New Roman" w:cs="宋体"/>
        </w:rPr>
      </w:pPr>
      <w:r>
        <w:rPr>
          <w:rFonts w:hint="eastAsia" w:ascii="宋体" w:hAnsi="Times New Roman" w:cs="宋体"/>
        </w:rPr>
        <w:t>2.采购需求书中打“▲”号条款为实质性条款，供应商如有任何一条负偏离则导致投标无效。</w:t>
      </w:r>
    </w:p>
    <w:p>
      <w:pPr>
        <w:snapToGrid w:val="0"/>
        <w:spacing w:line="360" w:lineRule="auto"/>
        <w:ind w:firstLine="420" w:firstLineChars="200"/>
        <w:rPr>
          <w:rFonts w:ascii="宋体" w:hAnsi="Times New Roman" w:cs="宋体"/>
        </w:rPr>
      </w:pPr>
      <w:r>
        <w:rPr>
          <w:rFonts w:hint="eastAsia" w:ascii="宋体" w:hAnsi="Times New Roman" w:cs="宋体"/>
        </w:rPr>
        <w:t>3.使用财政性资金，但本项目采购内容为集中采购目录以外且采购限额标准以下，不纳入政府采购管理范围，由采购人按本单位的内控制度自行采购。</w:t>
      </w:r>
    </w:p>
    <w:p>
      <w:pPr>
        <w:tabs>
          <w:tab w:val="left" w:pos="420"/>
          <w:tab w:val="left" w:pos="540"/>
          <w:tab w:val="left" w:pos="574"/>
        </w:tabs>
        <w:spacing w:line="360" w:lineRule="auto"/>
        <w:ind w:left="420"/>
        <w:outlineLvl w:val="0"/>
        <w:rPr>
          <w:rFonts w:ascii="宋体" w:hAnsi="宋体" w:cs="宋体"/>
          <w:b/>
          <w:bCs/>
        </w:rPr>
      </w:pPr>
      <w:bookmarkStart w:id="6" w:name="_Toc18091"/>
      <w:r>
        <w:rPr>
          <w:rFonts w:ascii="宋体" w:hAnsi="宋体" w:cs="宋体"/>
          <w:b/>
          <w:bCs/>
        </w:rPr>
        <w:t>二、</w:t>
      </w:r>
      <w:r>
        <w:rPr>
          <w:rFonts w:hint="eastAsia" w:ascii="宋体" w:hAnsi="宋体" w:cs="宋体"/>
          <w:b/>
          <w:bCs/>
        </w:rPr>
        <w:t>采购内容简述</w:t>
      </w:r>
      <w:bookmarkEnd w:id="6"/>
    </w:p>
    <w:p>
      <w:pPr>
        <w:snapToGrid w:val="0"/>
        <w:spacing w:line="360" w:lineRule="auto"/>
        <w:ind w:firstLine="420" w:firstLineChars="200"/>
        <w:rPr>
          <w:rFonts w:ascii="宋体" w:hAnsi="Times New Roman" w:cs="宋体"/>
          <w:bCs/>
          <w:szCs w:val="20"/>
        </w:rPr>
      </w:pPr>
      <w:r>
        <w:rPr>
          <w:rFonts w:hint="eastAsia" w:ascii="宋体" w:hAnsi="Times New Roman" w:cs="宋体"/>
          <w:bCs/>
          <w:szCs w:val="20"/>
        </w:rPr>
        <w:t>1.采购内容：详见“四、服务清单”；</w:t>
      </w:r>
    </w:p>
    <w:p>
      <w:pPr>
        <w:snapToGrid w:val="0"/>
        <w:spacing w:line="360" w:lineRule="auto"/>
        <w:ind w:firstLine="420" w:firstLineChars="200"/>
        <w:rPr>
          <w:rFonts w:ascii="宋体" w:hAnsi="Times New Roman" w:cs="宋体"/>
          <w:bCs/>
          <w:szCs w:val="20"/>
        </w:rPr>
      </w:pPr>
      <w:r>
        <w:rPr>
          <w:rFonts w:hint="eastAsia" w:ascii="宋体" w:hAnsi="Times New Roman" w:cs="宋体"/>
          <w:bCs/>
          <w:szCs w:val="20"/>
        </w:rPr>
        <w:t>2.数量：详见“四、服务清单”；</w:t>
      </w:r>
    </w:p>
    <w:p>
      <w:pPr>
        <w:snapToGrid w:val="0"/>
        <w:spacing w:line="360" w:lineRule="auto"/>
        <w:ind w:firstLine="420" w:firstLineChars="200"/>
        <w:rPr>
          <w:rFonts w:ascii="宋体" w:hAnsi="Times New Roman" w:cs="宋体"/>
          <w:bCs/>
          <w:color w:val="000000" w:themeColor="text1"/>
          <w:szCs w:val="20"/>
          <w14:textFill>
            <w14:solidFill>
              <w14:schemeClr w14:val="tx1"/>
            </w14:solidFill>
          </w14:textFill>
        </w:rPr>
      </w:pPr>
      <w:r>
        <w:rPr>
          <w:rFonts w:hint="eastAsia" w:ascii="宋体" w:hAnsi="Times New Roman" w:cs="宋体"/>
          <w:bCs/>
          <w:color w:val="000000" w:themeColor="text1"/>
          <w:szCs w:val="20"/>
          <w14:textFill>
            <w14:solidFill>
              <w14:schemeClr w14:val="tx1"/>
            </w14:solidFill>
          </w14:textFill>
        </w:rPr>
        <w:t>3.服务期：</w:t>
      </w:r>
      <w:r>
        <w:rPr>
          <w:rFonts w:hint="eastAsia" w:ascii="Times New Roman" w:hAnsi="宋体" w:cs="宋体"/>
          <w:color w:val="000000" w:themeColor="text1"/>
          <w14:textFill>
            <w14:solidFill>
              <w14:schemeClr w14:val="tx1"/>
            </w14:solidFill>
          </w14:textFill>
        </w:rPr>
        <w:t>合同签订之日起</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 xml:space="preserve">壹 </w:t>
      </w:r>
      <w:r>
        <w:rPr>
          <w:rFonts w:hint="eastAsia" w:ascii="宋体" w:hAnsi="宋体" w:cs="宋体"/>
          <w:color w:val="000000" w:themeColor="text1"/>
          <w14:textFill>
            <w14:solidFill>
              <w14:schemeClr w14:val="tx1"/>
            </w14:solidFill>
          </w14:textFill>
        </w:rPr>
        <w:t>年</w:t>
      </w:r>
      <w:r>
        <w:rPr>
          <w:rFonts w:hint="eastAsia" w:ascii="宋体" w:hAnsi="Times New Roman" w:cs="宋体"/>
          <w:bCs/>
          <w:color w:val="000000" w:themeColor="text1"/>
          <w:szCs w:val="20"/>
          <w14:textFill>
            <w14:solidFill>
              <w14:schemeClr w14:val="tx1"/>
            </w14:solidFill>
          </w14:textFill>
        </w:rPr>
        <w:t>；</w:t>
      </w:r>
    </w:p>
    <w:p>
      <w:pPr>
        <w:snapToGrid w:val="0"/>
        <w:spacing w:line="360" w:lineRule="auto"/>
        <w:ind w:firstLine="420" w:firstLineChars="200"/>
        <w:rPr>
          <w:rFonts w:ascii="宋体" w:hAnsi="Times New Roman" w:cs="宋体"/>
          <w:bCs/>
          <w:szCs w:val="20"/>
        </w:rPr>
      </w:pPr>
      <w:r>
        <w:rPr>
          <w:rFonts w:hint="eastAsia" w:ascii="宋体" w:hAnsi="Times New Roman" w:cs="宋体"/>
          <w:bCs/>
          <w:szCs w:val="20"/>
        </w:rPr>
        <w:t>4.预算金额：人民币</w:t>
      </w:r>
      <w:r>
        <w:rPr>
          <w:rFonts w:hint="eastAsia" w:ascii="宋体" w:hAnsi="Times New Roman" w:cs="宋体"/>
          <w:bCs/>
          <w:szCs w:val="20"/>
          <w:lang w:val="en-US" w:eastAsia="zh-CN"/>
        </w:rPr>
        <w:t>75</w:t>
      </w:r>
      <w:r>
        <w:rPr>
          <w:rFonts w:hint="eastAsia" w:ascii="宋体" w:hAnsi="Times New Roman" w:cs="宋体"/>
          <w:bCs/>
          <w:highlight w:val="yellow"/>
          <w:u w:val="single"/>
        </w:rPr>
        <w:t>000</w:t>
      </w:r>
      <w:r>
        <w:rPr>
          <w:rFonts w:hint="eastAsia" w:ascii="宋体" w:hAnsi="Times New Roman" w:cs="宋体"/>
          <w:bCs/>
          <w:highlight w:val="yellow"/>
          <w:u w:val="single"/>
          <w:lang w:val="en-US" w:eastAsia="zh-CN"/>
        </w:rPr>
        <w:t>.00</w:t>
      </w:r>
      <w:r>
        <w:rPr>
          <w:rFonts w:ascii="宋体" w:hAnsi="Times New Roman" w:cs="宋体"/>
          <w:bCs/>
          <w:highlight w:val="yellow"/>
          <w:u w:val="single"/>
        </w:rPr>
        <w:t xml:space="preserve"> </w:t>
      </w:r>
      <w:r>
        <w:rPr>
          <w:rFonts w:hint="eastAsia" w:ascii="宋体" w:hAnsi="Times New Roman" w:cs="宋体"/>
          <w:bCs/>
          <w:szCs w:val="20"/>
        </w:rPr>
        <w:t>元（供应商报价超过预算金额将按无效投标处理）。</w:t>
      </w:r>
    </w:p>
    <w:p>
      <w:pPr>
        <w:tabs>
          <w:tab w:val="left" w:pos="420"/>
          <w:tab w:val="left" w:pos="540"/>
          <w:tab w:val="left" w:pos="574"/>
        </w:tabs>
        <w:spacing w:line="360" w:lineRule="auto"/>
        <w:ind w:left="420"/>
        <w:outlineLvl w:val="0"/>
        <w:rPr>
          <w:rFonts w:ascii="宋体" w:hAnsi="宋体" w:cs="宋体"/>
          <w:b/>
          <w:bCs/>
        </w:rPr>
      </w:pPr>
      <w:r>
        <w:rPr>
          <w:rFonts w:ascii="宋体" w:hAnsi="宋体" w:cs="宋体"/>
          <w:b/>
          <w:bCs/>
        </w:rPr>
        <w:t>三、</w:t>
      </w:r>
      <w:r>
        <w:rPr>
          <w:rFonts w:hint="eastAsia" w:ascii="宋体" w:hAnsi="宋体" w:cs="宋体"/>
          <w:b/>
          <w:bCs/>
        </w:rPr>
        <w:t>项目概况</w:t>
      </w:r>
    </w:p>
    <w:p>
      <w:pPr>
        <w:widowControl/>
        <w:tabs>
          <w:tab w:val="left" w:pos="424"/>
        </w:tabs>
        <w:spacing w:line="360" w:lineRule="auto"/>
        <w:ind w:firstLine="420" w:firstLineChars="200"/>
        <w:jc w:val="left"/>
        <w:rPr>
          <w:rFonts w:hAnsi="宋体"/>
          <w:kern w:val="28"/>
        </w:rPr>
      </w:pPr>
      <w:r>
        <w:rPr>
          <w:rFonts w:hint="eastAsia" w:ascii="宋体" w:hAnsi="Times New Roman" w:cs="宋体"/>
        </w:rPr>
        <w:t>1.本次招标项目范围：</w:t>
      </w:r>
      <w:r>
        <w:rPr>
          <w:rFonts w:hint="eastAsia" w:ascii="宋体" w:hAnsi="宋体" w:cs="宋体"/>
        </w:rPr>
        <w:t>广西南宁技师学院202</w:t>
      </w:r>
      <w:r>
        <w:rPr>
          <w:rFonts w:hint="eastAsia" w:ascii="宋体" w:hAnsi="宋体" w:cs="宋体"/>
          <w:lang w:val="en-US" w:eastAsia="zh-CN"/>
        </w:rPr>
        <w:t>5</w:t>
      </w:r>
      <w:r>
        <w:rPr>
          <w:rFonts w:hint="eastAsia" w:ascii="宋体" w:hAnsi="宋体" w:cs="宋体"/>
        </w:rPr>
        <w:t>年</w:t>
      </w:r>
      <w:r>
        <w:rPr>
          <w:rFonts w:hint="eastAsia" w:ascii="宋体" w:hAnsi="宋体" w:cs="宋体"/>
          <w:kern w:val="28"/>
        </w:rPr>
        <w:t>各校区变压器维保</w:t>
      </w:r>
      <w:r>
        <w:rPr>
          <w:rFonts w:hint="eastAsia" w:ascii="宋体" w:hAnsi="宋体" w:cs="宋体"/>
        </w:rPr>
        <w:t>服务</w:t>
      </w:r>
      <w:r>
        <w:rPr>
          <w:rFonts w:hint="eastAsia" w:ascii="宋体" w:hAnsi="Times New Roman" w:cs="宋体"/>
          <w:bCs/>
          <w:szCs w:val="20"/>
        </w:rPr>
        <w:t>。</w:t>
      </w:r>
    </w:p>
    <w:p>
      <w:pPr>
        <w:widowControl/>
        <w:tabs>
          <w:tab w:val="left" w:pos="424"/>
        </w:tabs>
        <w:spacing w:line="360" w:lineRule="auto"/>
        <w:ind w:firstLine="210" w:firstLineChars="100"/>
        <w:jc w:val="left"/>
        <w:rPr>
          <w:rFonts w:ascii="宋体" w:hAnsi="Times New Roman" w:cs="宋体"/>
        </w:rPr>
      </w:pPr>
      <w:r>
        <w:rPr>
          <w:rFonts w:hint="eastAsia" w:ascii="宋体" w:hAnsi="Times New Roman" w:cs="宋体"/>
        </w:rPr>
        <w:t>▲2.成交供应商不得以任何方式转包或分包本项目。</w:t>
      </w:r>
    </w:p>
    <w:p>
      <w:pPr>
        <w:widowControl/>
        <w:tabs>
          <w:tab w:val="left" w:pos="424"/>
        </w:tabs>
        <w:spacing w:line="360" w:lineRule="auto"/>
        <w:ind w:firstLine="210" w:firstLineChars="100"/>
        <w:jc w:val="left"/>
        <w:rPr>
          <w:rFonts w:ascii="宋体" w:hAnsi="Times New Roman" w:cs="宋体"/>
        </w:rPr>
      </w:pPr>
      <w:r>
        <w:rPr>
          <w:rFonts w:hint="eastAsia" w:ascii="宋体" w:hAnsi="Times New Roman" w:cs="宋体"/>
        </w:rPr>
        <w:t>▲3.供应商所提供服务内容及技术参数等不能低于询价文件所提出的要求。</w:t>
      </w:r>
    </w:p>
    <w:p>
      <w:pPr>
        <w:widowControl/>
        <w:tabs>
          <w:tab w:val="left" w:pos="424"/>
        </w:tabs>
        <w:spacing w:line="360" w:lineRule="auto"/>
        <w:ind w:firstLine="210" w:firstLineChars="100"/>
        <w:jc w:val="left"/>
        <w:rPr>
          <w:rFonts w:ascii="宋体" w:hAnsi="Times New Roman" w:cs="宋体"/>
        </w:rPr>
      </w:pPr>
      <w:r>
        <w:rPr>
          <w:rFonts w:hint="eastAsia" w:ascii="宋体" w:hAnsi="Times New Roman" w:cs="宋体"/>
        </w:rPr>
        <w:t>▲4. 一个学期内，供应商存在无正当理由被投诉二次（含二次）以上或被给予采购项目质量评价一次差评的，将被列入供应商不良行为。供应商若存在不良行为，本单位可终止本项目合同，或曝光其不良行为，或禁止该供应商一至三年内不得参与本单位的一切校内采购活动。</w:t>
      </w:r>
    </w:p>
    <w:p>
      <w:pPr>
        <w:tabs>
          <w:tab w:val="left" w:pos="420"/>
          <w:tab w:val="left" w:pos="540"/>
          <w:tab w:val="left" w:pos="574"/>
        </w:tabs>
        <w:spacing w:line="360" w:lineRule="auto"/>
        <w:ind w:firstLine="422" w:firstLineChars="200"/>
        <w:outlineLvl w:val="0"/>
        <w:rPr>
          <w:rFonts w:ascii="宋体" w:hAnsi="宋体" w:cs="宋体"/>
          <w:b/>
          <w:bCs/>
        </w:rPr>
      </w:pPr>
      <w:bookmarkStart w:id="7" w:name="_Hlk70344164"/>
    </w:p>
    <w:p>
      <w:pPr>
        <w:tabs>
          <w:tab w:val="left" w:pos="420"/>
          <w:tab w:val="left" w:pos="540"/>
          <w:tab w:val="left" w:pos="574"/>
        </w:tabs>
        <w:spacing w:line="360" w:lineRule="auto"/>
        <w:ind w:firstLine="422" w:firstLineChars="200"/>
        <w:outlineLvl w:val="0"/>
        <w:rPr>
          <w:rFonts w:ascii="宋体" w:hAnsi="宋体" w:cs="宋体"/>
          <w:b/>
          <w:bCs/>
        </w:rPr>
      </w:pPr>
    </w:p>
    <w:p>
      <w:pPr>
        <w:tabs>
          <w:tab w:val="left" w:pos="420"/>
          <w:tab w:val="left" w:pos="540"/>
          <w:tab w:val="left" w:pos="574"/>
        </w:tabs>
        <w:spacing w:line="360" w:lineRule="auto"/>
        <w:ind w:firstLine="422" w:firstLineChars="200"/>
        <w:outlineLvl w:val="0"/>
        <w:rPr>
          <w:rFonts w:ascii="宋体" w:hAnsi="宋体" w:cs="宋体"/>
          <w:b/>
          <w:bCs/>
        </w:rPr>
      </w:pPr>
    </w:p>
    <w:p>
      <w:pPr>
        <w:tabs>
          <w:tab w:val="left" w:pos="420"/>
          <w:tab w:val="left" w:pos="540"/>
          <w:tab w:val="left" w:pos="574"/>
        </w:tabs>
        <w:spacing w:line="360" w:lineRule="auto"/>
        <w:ind w:firstLine="422" w:firstLineChars="200"/>
        <w:outlineLvl w:val="0"/>
        <w:rPr>
          <w:rFonts w:ascii="宋体" w:hAnsi="宋体" w:cs="宋体"/>
          <w:b/>
          <w:bCs/>
        </w:rPr>
      </w:pPr>
    </w:p>
    <w:p>
      <w:pPr>
        <w:tabs>
          <w:tab w:val="left" w:pos="420"/>
          <w:tab w:val="left" w:pos="540"/>
          <w:tab w:val="left" w:pos="574"/>
        </w:tabs>
        <w:spacing w:line="360" w:lineRule="auto"/>
        <w:ind w:firstLine="422" w:firstLineChars="200"/>
        <w:outlineLvl w:val="0"/>
        <w:rPr>
          <w:rFonts w:ascii="宋体" w:hAnsi="宋体" w:cs="宋体"/>
          <w:sz w:val="24"/>
          <w:szCs w:val="24"/>
        </w:rPr>
      </w:pPr>
      <w:r>
        <w:rPr>
          <w:rFonts w:ascii="宋体" w:hAnsi="宋体" w:cs="宋体"/>
          <w:b/>
          <w:bCs/>
        </w:rPr>
        <w:t>四、</w:t>
      </w:r>
      <w:r>
        <w:rPr>
          <w:rFonts w:hint="eastAsia" w:ascii="宋体" w:hAnsi="宋体" w:cs="宋体"/>
          <w:b/>
          <w:bCs/>
        </w:rPr>
        <w:t>服务清单</w:t>
      </w:r>
      <w:bookmarkEnd w:id="7"/>
    </w:p>
    <w:p>
      <w:pPr>
        <w:spacing w:line="360" w:lineRule="exact"/>
        <w:rPr>
          <w:rFonts w:ascii="宋体" w:hAnsi="宋体" w:cs="宋体"/>
          <w:b/>
          <w:sz w:val="24"/>
          <w:szCs w:val="24"/>
        </w:rPr>
      </w:pPr>
      <w:r>
        <w:rPr>
          <w:rFonts w:hint="eastAsia" w:ascii="宋体" w:hAnsi="宋体" w:cs="宋体"/>
          <w:b/>
          <w:sz w:val="24"/>
          <w:szCs w:val="24"/>
        </w:rPr>
        <w:t xml:space="preserve">服务清单一：高压预防性试验服务内容        </w:t>
      </w:r>
    </w:p>
    <w:tbl>
      <w:tblPr>
        <w:tblStyle w:val="35"/>
        <w:tblW w:w="9420" w:type="dxa"/>
        <w:tblInd w:w="-4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3423"/>
        <w:gridCol w:w="2475"/>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347" w:type="dxa"/>
            <w:vAlign w:val="center"/>
          </w:tcPr>
          <w:p>
            <w:pPr>
              <w:jc w:val="center"/>
              <w:rPr>
                <w:rFonts w:ascii="宋体" w:hAnsi="宋体" w:cs="宋体"/>
                <w:b/>
                <w:bCs/>
              </w:rPr>
            </w:pPr>
            <w:r>
              <w:rPr>
                <w:rFonts w:hint="eastAsia" w:ascii="宋体" w:hAnsi="宋体" w:cs="宋体"/>
                <w:b/>
                <w:bCs/>
              </w:rPr>
              <w:t>主要试验设备</w:t>
            </w:r>
          </w:p>
        </w:tc>
        <w:tc>
          <w:tcPr>
            <w:tcW w:w="3423" w:type="dxa"/>
            <w:vAlign w:val="center"/>
          </w:tcPr>
          <w:p>
            <w:pPr>
              <w:jc w:val="center"/>
              <w:rPr>
                <w:rFonts w:ascii="宋体" w:hAnsi="宋体" w:cs="宋体"/>
                <w:b/>
                <w:bCs/>
              </w:rPr>
            </w:pPr>
            <w:r>
              <w:rPr>
                <w:rFonts w:hint="eastAsia" w:ascii="宋体" w:hAnsi="宋体" w:cs="宋体"/>
                <w:b/>
                <w:bCs/>
              </w:rPr>
              <w:t>主要试验内容</w:t>
            </w:r>
          </w:p>
        </w:tc>
        <w:tc>
          <w:tcPr>
            <w:tcW w:w="2475" w:type="dxa"/>
            <w:vAlign w:val="center"/>
          </w:tcPr>
          <w:p>
            <w:pPr>
              <w:jc w:val="center"/>
              <w:rPr>
                <w:rFonts w:ascii="宋体" w:hAnsi="宋体" w:cs="宋体"/>
                <w:b/>
                <w:bCs/>
              </w:rPr>
            </w:pPr>
            <w:r>
              <w:rPr>
                <w:rFonts w:hint="eastAsia" w:ascii="宋体" w:hAnsi="宋体" w:cs="宋体"/>
                <w:b/>
                <w:bCs/>
              </w:rPr>
              <w:t>故障处理</w:t>
            </w:r>
          </w:p>
        </w:tc>
        <w:tc>
          <w:tcPr>
            <w:tcW w:w="2175" w:type="dxa"/>
            <w:vAlign w:val="center"/>
          </w:tcPr>
          <w:p>
            <w:pPr>
              <w:jc w:val="center"/>
              <w:rPr>
                <w:rFonts w:ascii="宋体" w:hAnsi="宋体" w:cs="宋体"/>
                <w:b/>
                <w:bCs/>
              </w:rPr>
            </w:pPr>
            <w:r>
              <w:rPr>
                <w:rFonts w:hint="eastAsia" w:ascii="宋体" w:hAnsi="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pPr>
              <w:jc w:val="center"/>
              <w:rPr>
                <w:rFonts w:ascii="宋体" w:hAnsi="宋体" w:cs="宋体"/>
                <w:bCs/>
              </w:rPr>
            </w:pPr>
            <w:r>
              <w:rPr>
                <w:rFonts w:hint="eastAsia" w:ascii="宋体" w:hAnsi="宋体" w:cs="宋体"/>
                <w:bCs/>
              </w:rPr>
              <w:t>变压器</w:t>
            </w:r>
          </w:p>
        </w:tc>
        <w:tc>
          <w:tcPr>
            <w:tcW w:w="3423" w:type="dxa"/>
            <w:vAlign w:val="center"/>
          </w:tcPr>
          <w:p>
            <w:pPr>
              <w:rPr>
                <w:rFonts w:ascii="宋体" w:hAnsi="宋体" w:cs="宋体"/>
              </w:rPr>
            </w:pPr>
            <w:r>
              <w:rPr>
                <w:rFonts w:hint="eastAsia" w:ascii="宋体" w:hAnsi="宋体" w:cs="宋体"/>
              </w:rPr>
              <w:t>绝缘电阻测试、直阻测试、交流耐压、变压器变比测试</w:t>
            </w:r>
          </w:p>
        </w:tc>
        <w:tc>
          <w:tcPr>
            <w:tcW w:w="2475" w:type="dxa"/>
            <w:vAlign w:val="center"/>
          </w:tcPr>
          <w:p>
            <w:pPr>
              <w:jc w:val="center"/>
              <w:rPr>
                <w:rFonts w:ascii="宋体" w:hAnsi="宋体" w:cs="宋体"/>
              </w:rPr>
            </w:pPr>
            <w:r>
              <w:rPr>
                <w:rFonts w:hint="eastAsia" w:ascii="宋体" w:hAnsi="宋体" w:cs="宋体"/>
              </w:rPr>
              <w:t>发现故障，及时处理</w:t>
            </w:r>
          </w:p>
        </w:tc>
        <w:tc>
          <w:tcPr>
            <w:tcW w:w="2175"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pPr>
              <w:jc w:val="center"/>
              <w:rPr>
                <w:rFonts w:ascii="宋体" w:hAnsi="宋体" w:cs="宋体"/>
                <w:bCs/>
              </w:rPr>
            </w:pPr>
            <w:r>
              <w:rPr>
                <w:rFonts w:hint="eastAsia" w:ascii="宋体" w:hAnsi="宋体" w:cs="宋体"/>
                <w:bCs/>
              </w:rPr>
              <w:t>高压进线柜</w:t>
            </w:r>
          </w:p>
        </w:tc>
        <w:tc>
          <w:tcPr>
            <w:tcW w:w="3423" w:type="dxa"/>
            <w:vAlign w:val="center"/>
          </w:tcPr>
          <w:p>
            <w:pPr>
              <w:rPr>
                <w:rFonts w:ascii="宋体" w:hAnsi="宋体" w:cs="宋体"/>
              </w:rPr>
            </w:pPr>
            <w:r>
              <w:rPr>
                <w:rFonts w:hint="eastAsia" w:ascii="宋体" w:hAnsi="宋体" w:cs="宋体"/>
              </w:rPr>
              <w:t>绝缘电阻测试、交流耐压（</w:t>
            </w:r>
            <w:r>
              <w:rPr>
                <w:rFonts w:hint="eastAsia" w:ascii="宋体" w:hAnsi="宋体" w:cs="宋体"/>
                <w:bCs/>
              </w:rPr>
              <w:t>因外线路停电不受本公司控制，进线开关线路侧设备不在试验范围</w:t>
            </w:r>
            <w:r>
              <w:rPr>
                <w:rFonts w:hint="eastAsia" w:ascii="宋体" w:hAnsi="宋体" w:cs="宋体"/>
              </w:rPr>
              <w:t>）</w:t>
            </w:r>
          </w:p>
        </w:tc>
        <w:tc>
          <w:tcPr>
            <w:tcW w:w="2475" w:type="dxa"/>
            <w:vAlign w:val="center"/>
          </w:tcPr>
          <w:p>
            <w:pPr>
              <w:jc w:val="center"/>
              <w:rPr>
                <w:rFonts w:ascii="宋体" w:hAnsi="宋体" w:cs="宋体"/>
              </w:rPr>
            </w:pPr>
            <w:r>
              <w:rPr>
                <w:rFonts w:hint="eastAsia" w:ascii="宋体" w:hAnsi="宋体" w:cs="宋体"/>
              </w:rPr>
              <w:t>发现故障，及时处理</w:t>
            </w:r>
          </w:p>
        </w:tc>
        <w:tc>
          <w:tcPr>
            <w:tcW w:w="2175"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pPr>
              <w:jc w:val="center"/>
              <w:rPr>
                <w:rFonts w:ascii="宋体" w:hAnsi="宋体" w:cs="宋体"/>
                <w:bCs/>
              </w:rPr>
            </w:pPr>
            <w:r>
              <w:rPr>
                <w:rFonts w:hint="eastAsia" w:ascii="宋体" w:hAnsi="宋体" w:cs="宋体"/>
                <w:bCs/>
              </w:rPr>
              <w:t>高压计量柜</w:t>
            </w:r>
          </w:p>
        </w:tc>
        <w:tc>
          <w:tcPr>
            <w:tcW w:w="3423" w:type="dxa"/>
            <w:vAlign w:val="center"/>
          </w:tcPr>
          <w:p>
            <w:pPr>
              <w:rPr>
                <w:rFonts w:ascii="宋体" w:hAnsi="宋体" w:cs="宋体"/>
              </w:rPr>
            </w:pPr>
            <w:r>
              <w:rPr>
                <w:rFonts w:hint="eastAsia" w:ascii="宋体" w:hAnsi="宋体" w:cs="宋体"/>
              </w:rPr>
              <w:t>绝缘电阻测试、交流耐压</w:t>
            </w:r>
          </w:p>
        </w:tc>
        <w:tc>
          <w:tcPr>
            <w:tcW w:w="2475" w:type="dxa"/>
            <w:vAlign w:val="center"/>
          </w:tcPr>
          <w:p>
            <w:pPr>
              <w:jc w:val="center"/>
              <w:rPr>
                <w:rFonts w:ascii="宋体" w:hAnsi="宋体" w:cs="宋体"/>
              </w:rPr>
            </w:pPr>
            <w:r>
              <w:rPr>
                <w:rFonts w:hint="eastAsia" w:ascii="宋体" w:hAnsi="宋体" w:cs="宋体"/>
              </w:rPr>
              <w:t>发现故障，及时处理</w:t>
            </w:r>
          </w:p>
        </w:tc>
        <w:tc>
          <w:tcPr>
            <w:tcW w:w="2175"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pPr>
              <w:jc w:val="center"/>
              <w:rPr>
                <w:rFonts w:ascii="宋体" w:hAnsi="宋体" w:cs="宋体"/>
                <w:bCs/>
              </w:rPr>
            </w:pPr>
            <w:r>
              <w:rPr>
                <w:rFonts w:hint="eastAsia" w:ascii="宋体" w:hAnsi="宋体" w:cs="宋体"/>
                <w:bCs/>
              </w:rPr>
              <w:t>高压母联柜</w:t>
            </w:r>
          </w:p>
        </w:tc>
        <w:tc>
          <w:tcPr>
            <w:tcW w:w="3423" w:type="dxa"/>
            <w:vAlign w:val="center"/>
          </w:tcPr>
          <w:p>
            <w:pPr>
              <w:rPr>
                <w:rFonts w:ascii="宋体" w:hAnsi="宋体" w:cs="宋体"/>
              </w:rPr>
            </w:pPr>
            <w:r>
              <w:rPr>
                <w:rFonts w:hint="eastAsia" w:ascii="宋体" w:hAnsi="宋体" w:cs="宋体"/>
              </w:rPr>
              <w:t>绝缘电阻测试、交流耐压</w:t>
            </w:r>
          </w:p>
        </w:tc>
        <w:tc>
          <w:tcPr>
            <w:tcW w:w="2475" w:type="dxa"/>
            <w:vAlign w:val="center"/>
          </w:tcPr>
          <w:p>
            <w:pPr>
              <w:jc w:val="center"/>
              <w:rPr>
                <w:rFonts w:ascii="宋体" w:hAnsi="宋体" w:cs="宋体"/>
              </w:rPr>
            </w:pPr>
            <w:r>
              <w:rPr>
                <w:rFonts w:hint="eastAsia" w:ascii="宋体" w:hAnsi="宋体" w:cs="宋体"/>
              </w:rPr>
              <w:t>发现故障，及时处理</w:t>
            </w:r>
          </w:p>
        </w:tc>
        <w:tc>
          <w:tcPr>
            <w:tcW w:w="2175"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pPr>
              <w:jc w:val="center"/>
              <w:rPr>
                <w:rFonts w:ascii="宋体" w:hAnsi="宋体" w:cs="宋体"/>
                <w:bCs/>
              </w:rPr>
            </w:pPr>
            <w:r>
              <w:rPr>
                <w:rFonts w:hint="eastAsia" w:ascii="宋体" w:hAnsi="宋体" w:cs="宋体"/>
                <w:bCs/>
              </w:rPr>
              <w:t>高压出线柜</w:t>
            </w:r>
          </w:p>
        </w:tc>
        <w:tc>
          <w:tcPr>
            <w:tcW w:w="3423" w:type="dxa"/>
            <w:vAlign w:val="center"/>
          </w:tcPr>
          <w:p>
            <w:pPr>
              <w:rPr>
                <w:rFonts w:ascii="宋体" w:hAnsi="宋体" w:cs="宋体"/>
              </w:rPr>
            </w:pPr>
            <w:r>
              <w:rPr>
                <w:rFonts w:hint="eastAsia" w:ascii="宋体" w:hAnsi="宋体" w:cs="宋体"/>
              </w:rPr>
              <w:t>绝缘电阻测试、交流耐压</w:t>
            </w:r>
          </w:p>
        </w:tc>
        <w:tc>
          <w:tcPr>
            <w:tcW w:w="2475" w:type="dxa"/>
            <w:vAlign w:val="center"/>
          </w:tcPr>
          <w:p>
            <w:pPr>
              <w:jc w:val="center"/>
              <w:rPr>
                <w:rFonts w:ascii="宋体" w:hAnsi="宋体" w:cs="宋体"/>
              </w:rPr>
            </w:pPr>
            <w:r>
              <w:rPr>
                <w:rFonts w:hint="eastAsia" w:ascii="宋体" w:hAnsi="宋体" w:cs="宋体"/>
              </w:rPr>
              <w:t>发现故障，及时处理</w:t>
            </w:r>
          </w:p>
        </w:tc>
        <w:tc>
          <w:tcPr>
            <w:tcW w:w="2175"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pPr>
              <w:jc w:val="center"/>
              <w:rPr>
                <w:rFonts w:ascii="宋体" w:hAnsi="宋体" w:cs="宋体"/>
                <w:bCs/>
              </w:rPr>
            </w:pPr>
            <w:r>
              <w:rPr>
                <w:rFonts w:hint="eastAsia" w:ascii="宋体" w:hAnsi="宋体" w:cs="宋体"/>
                <w:bCs/>
              </w:rPr>
              <w:t>低压进线柜</w:t>
            </w:r>
          </w:p>
        </w:tc>
        <w:tc>
          <w:tcPr>
            <w:tcW w:w="3423" w:type="dxa"/>
            <w:vAlign w:val="center"/>
          </w:tcPr>
          <w:p>
            <w:pPr>
              <w:rPr>
                <w:rFonts w:ascii="宋体" w:hAnsi="宋体" w:cs="宋体"/>
              </w:rPr>
            </w:pPr>
            <w:r>
              <w:rPr>
                <w:rFonts w:hint="eastAsia" w:ascii="宋体" w:hAnsi="宋体" w:cs="宋体"/>
              </w:rPr>
              <w:t>绝缘电阻测试、电流回路及表计检测</w:t>
            </w:r>
          </w:p>
        </w:tc>
        <w:tc>
          <w:tcPr>
            <w:tcW w:w="2475" w:type="dxa"/>
            <w:vAlign w:val="center"/>
          </w:tcPr>
          <w:p>
            <w:pPr>
              <w:jc w:val="center"/>
              <w:rPr>
                <w:rFonts w:ascii="宋体" w:hAnsi="宋体" w:cs="宋体"/>
              </w:rPr>
            </w:pPr>
            <w:r>
              <w:rPr>
                <w:rFonts w:hint="eastAsia" w:ascii="宋体" w:hAnsi="宋体" w:cs="宋体"/>
              </w:rPr>
              <w:t>发现故障，及时处理</w:t>
            </w:r>
          </w:p>
        </w:tc>
        <w:tc>
          <w:tcPr>
            <w:tcW w:w="2175"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pPr>
              <w:jc w:val="center"/>
              <w:rPr>
                <w:rFonts w:ascii="宋体" w:hAnsi="宋体" w:cs="宋体"/>
                <w:bCs/>
              </w:rPr>
            </w:pPr>
            <w:r>
              <w:rPr>
                <w:rFonts w:hint="eastAsia" w:ascii="宋体" w:hAnsi="宋体" w:cs="宋体"/>
                <w:bCs/>
              </w:rPr>
              <w:t>低压电容柜</w:t>
            </w:r>
          </w:p>
        </w:tc>
        <w:tc>
          <w:tcPr>
            <w:tcW w:w="3423" w:type="dxa"/>
            <w:vAlign w:val="center"/>
          </w:tcPr>
          <w:p>
            <w:pPr>
              <w:rPr>
                <w:rFonts w:ascii="宋体" w:hAnsi="宋体" w:cs="宋体"/>
                <w:bCs/>
              </w:rPr>
            </w:pPr>
            <w:r>
              <w:rPr>
                <w:rFonts w:hint="eastAsia" w:ascii="宋体" w:hAnsi="宋体" w:cs="宋体"/>
              </w:rPr>
              <w:t>绝缘电阻测试、</w:t>
            </w:r>
            <w:r>
              <w:rPr>
                <w:rFonts w:hint="eastAsia" w:ascii="宋体" w:hAnsi="宋体" w:cs="宋体"/>
                <w:bCs/>
              </w:rPr>
              <w:t>电容测试</w:t>
            </w:r>
          </w:p>
        </w:tc>
        <w:tc>
          <w:tcPr>
            <w:tcW w:w="2475" w:type="dxa"/>
            <w:vAlign w:val="center"/>
          </w:tcPr>
          <w:p>
            <w:pPr>
              <w:jc w:val="center"/>
              <w:rPr>
                <w:rFonts w:ascii="宋体" w:hAnsi="宋体" w:cs="宋体"/>
              </w:rPr>
            </w:pPr>
            <w:r>
              <w:rPr>
                <w:rFonts w:hint="eastAsia" w:ascii="宋体" w:hAnsi="宋体" w:cs="宋体"/>
              </w:rPr>
              <w:t>发现故障，及时处理</w:t>
            </w:r>
          </w:p>
        </w:tc>
        <w:tc>
          <w:tcPr>
            <w:tcW w:w="2175"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pPr>
              <w:jc w:val="center"/>
              <w:rPr>
                <w:rFonts w:ascii="宋体" w:hAnsi="宋体" w:cs="宋体"/>
                <w:bCs/>
              </w:rPr>
            </w:pPr>
            <w:r>
              <w:rPr>
                <w:rFonts w:hint="eastAsia" w:ascii="宋体" w:hAnsi="宋体" w:cs="宋体"/>
                <w:bCs/>
              </w:rPr>
              <w:t>高压电缆</w:t>
            </w:r>
          </w:p>
        </w:tc>
        <w:tc>
          <w:tcPr>
            <w:tcW w:w="3423" w:type="dxa"/>
            <w:vAlign w:val="center"/>
          </w:tcPr>
          <w:p>
            <w:pPr>
              <w:rPr>
                <w:rFonts w:ascii="宋体" w:hAnsi="宋体" w:cs="宋体"/>
                <w:bCs/>
              </w:rPr>
            </w:pPr>
            <w:r>
              <w:rPr>
                <w:rFonts w:hint="eastAsia" w:ascii="宋体" w:hAnsi="宋体" w:cs="宋体"/>
                <w:bCs/>
              </w:rPr>
              <w:t>绝缘电阻测试</w:t>
            </w:r>
          </w:p>
        </w:tc>
        <w:tc>
          <w:tcPr>
            <w:tcW w:w="2475" w:type="dxa"/>
            <w:vAlign w:val="center"/>
          </w:tcPr>
          <w:p>
            <w:pPr>
              <w:jc w:val="center"/>
              <w:rPr>
                <w:rFonts w:ascii="宋体" w:hAnsi="宋体" w:cs="宋体"/>
                <w:bCs/>
              </w:rPr>
            </w:pPr>
            <w:r>
              <w:rPr>
                <w:rFonts w:hint="eastAsia" w:ascii="宋体" w:hAnsi="宋体" w:cs="宋体"/>
              </w:rPr>
              <w:t>发现故障，及时处理</w:t>
            </w:r>
          </w:p>
        </w:tc>
        <w:tc>
          <w:tcPr>
            <w:tcW w:w="2175" w:type="dxa"/>
          </w:tcPr>
          <w:p>
            <w:pP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pPr>
              <w:jc w:val="center"/>
              <w:rPr>
                <w:rFonts w:ascii="宋体" w:hAnsi="宋体" w:cs="宋体"/>
                <w:bCs/>
              </w:rPr>
            </w:pPr>
            <w:r>
              <w:rPr>
                <w:rFonts w:hint="eastAsia" w:ascii="宋体" w:hAnsi="宋体" w:cs="宋体"/>
                <w:bCs/>
              </w:rPr>
              <w:t>低压电缆</w:t>
            </w:r>
          </w:p>
        </w:tc>
        <w:tc>
          <w:tcPr>
            <w:tcW w:w="3423" w:type="dxa"/>
            <w:vAlign w:val="center"/>
          </w:tcPr>
          <w:p>
            <w:pPr>
              <w:rPr>
                <w:rFonts w:ascii="宋体" w:hAnsi="宋体" w:cs="宋体"/>
                <w:bCs/>
              </w:rPr>
            </w:pPr>
            <w:r>
              <w:rPr>
                <w:rFonts w:hint="eastAsia" w:ascii="宋体" w:hAnsi="宋体" w:cs="宋体"/>
                <w:bCs/>
              </w:rPr>
              <w:t>绝缘电阻测试</w:t>
            </w:r>
          </w:p>
        </w:tc>
        <w:tc>
          <w:tcPr>
            <w:tcW w:w="2475" w:type="dxa"/>
            <w:vAlign w:val="center"/>
          </w:tcPr>
          <w:p>
            <w:pPr>
              <w:jc w:val="center"/>
              <w:rPr>
                <w:rFonts w:ascii="宋体" w:hAnsi="宋体" w:cs="宋体"/>
                <w:bCs/>
              </w:rPr>
            </w:pPr>
            <w:r>
              <w:rPr>
                <w:rFonts w:hint="eastAsia" w:ascii="宋体" w:hAnsi="宋体" w:cs="宋体"/>
              </w:rPr>
              <w:t>发现故障，及时处理</w:t>
            </w:r>
          </w:p>
        </w:tc>
        <w:tc>
          <w:tcPr>
            <w:tcW w:w="2175" w:type="dxa"/>
          </w:tcPr>
          <w:p>
            <w:pP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pPr>
              <w:jc w:val="center"/>
              <w:rPr>
                <w:rFonts w:ascii="宋体" w:hAnsi="宋体" w:cs="宋体"/>
                <w:bCs/>
              </w:rPr>
            </w:pPr>
            <w:r>
              <w:rPr>
                <w:rFonts w:hint="eastAsia" w:ascii="宋体" w:hAnsi="宋体" w:cs="宋体"/>
                <w:bCs/>
              </w:rPr>
              <w:t>高压避雷器</w:t>
            </w:r>
          </w:p>
        </w:tc>
        <w:tc>
          <w:tcPr>
            <w:tcW w:w="3423" w:type="dxa"/>
            <w:vAlign w:val="center"/>
          </w:tcPr>
          <w:p>
            <w:pPr>
              <w:rPr>
                <w:rFonts w:ascii="宋体" w:hAnsi="宋体" w:cs="宋体"/>
                <w:bCs/>
              </w:rPr>
            </w:pPr>
            <w:r>
              <w:rPr>
                <w:rFonts w:hint="eastAsia" w:ascii="宋体" w:hAnsi="宋体" w:cs="宋体"/>
                <w:bCs/>
              </w:rPr>
              <w:t>绝缘电阻测试、直流参考电压及泄漏测试</w:t>
            </w:r>
          </w:p>
        </w:tc>
        <w:tc>
          <w:tcPr>
            <w:tcW w:w="2475" w:type="dxa"/>
            <w:vAlign w:val="center"/>
          </w:tcPr>
          <w:p>
            <w:pPr>
              <w:jc w:val="center"/>
              <w:rPr>
                <w:rFonts w:ascii="宋体" w:hAnsi="宋体" w:cs="宋体"/>
                <w:bCs/>
              </w:rPr>
            </w:pPr>
            <w:r>
              <w:rPr>
                <w:rFonts w:hint="eastAsia" w:ascii="宋体" w:hAnsi="宋体" w:cs="宋体"/>
              </w:rPr>
              <w:t>发现故障，及时处理</w:t>
            </w:r>
          </w:p>
        </w:tc>
        <w:tc>
          <w:tcPr>
            <w:tcW w:w="2175" w:type="dxa"/>
          </w:tcPr>
          <w:p>
            <w:pP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pPr>
              <w:jc w:val="center"/>
              <w:rPr>
                <w:rFonts w:ascii="宋体" w:hAnsi="宋体" w:cs="宋体"/>
                <w:bCs/>
              </w:rPr>
            </w:pPr>
            <w:r>
              <w:rPr>
                <w:rFonts w:hint="eastAsia" w:ascii="宋体" w:hAnsi="宋体" w:cs="宋体"/>
                <w:bCs/>
              </w:rPr>
              <w:t>继电保护</w:t>
            </w:r>
          </w:p>
        </w:tc>
        <w:tc>
          <w:tcPr>
            <w:tcW w:w="3423" w:type="dxa"/>
            <w:vAlign w:val="center"/>
          </w:tcPr>
          <w:p>
            <w:pPr>
              <w:rPr>
                <w:rFonts w:ascii="宋体" w:hAnsi="宋体" w:cs="宋体"/>
                <w:bCs/>
              </w:rPr>
            </w:pPr>
            <w:r>
              <w:rPr>
                <w:rFonts w:hint="eastAsia" w:ascii="宋体" w:hAnsi="宋体" w:cs="宋体"/>
                <w:bCs/>
              </w:rPr>
              <w:t>保护定值整定及校验</w:t>
            </w:r>
          </w:p>
        </w:tc>
        <w:tc>
          <w:tcPr>
            <w:tcW w:w="2475" w:type="dxa"/>
            <w:vAlign w:val="center"/>
          </w:tcPr>
          <w:p>
            <w:pPr>
              <w:jc w:val="center"/>
              <w:rPr>
                <w:rFonts w:ascii="宋体" w:hAnsi="宋体" w:cs="宋体"/>
                <w:bCs/>
              </w:rPr>
            </w:pPr>
            <w:r>
              <w:rPr>
                <w:rFonts w:hint="eastAsia" w:ascii="宋体" w:hAnsi="宋体" w:cs="宋体"/>
              </w:rPr>
              <w:t>发现故障，及时处理</w:t>
            </w:r>
          </w:p>
        </w:tc>
        <w:tc>
          <w:tcPr>
            <w:tcW w:w="2175" w:type="dxa"/>
          </w:tcPr>
          <w:p>
            <w:pP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pPr>
              <w:jc w:val="center"/>
              <w:rPr>
                <w:rFonts w:ascii="宋体" w:hAnsi="宋体" w:cs="宋体"/>
                <w:bCs/>
              </w:rPr>
            </w:pPr>
            <w:r>
              <w:rPr>
                <w:rFonts w:hint="eastAsia" w:ascii="宋体" w:hAnsi="宋体" w:cs="宋体"/>
                <w:bCs/>
              </w:rPr>
              <w:t>备 自 投</w:t>
            </w:r>
          </w:p>
        </w:tc>
        <w:tc>
          <w:tcPr>
            <w:tcW w:w="3423" w:type="dxa"/>
            <w:vAlign w:val="center"/>
          </w:tcPr>
          <w:p>
            <w:pPr>
              <w:rPr>
                <w:rFonts w:ascii="宋体" w:hAnsi="宋体" w:cs="宋体"/>
                <w:bCs/>
              </w:rPr>
            </w:pPr>
            <w:r>
              <w:rPr>
                <w:rFonts w:hint="eastAsia" w:ascii="宋体" w:hAnsi="宋体" w:cs="宋体"/>
                <w:bCs/>
              </w:rPr>
              <w:t>备用电源自动投入测试</w:t>
            </w:r>
          </w:p>
        </w:tc>
        <w:tc>
          <w:tcPr>
            <w:tcW w:w="2475" w:type="dxa"/>
            <w:vAlign w:val="center"/>
          </w:tcPr>
          <w:p>
            <w:pPr>
              <w:jc w:val="center"/>
              <w:rPr>
                <w:rFonts w:ascii="宋体" w:hAnsi="宋体" w:cs="宋体"/>
                <w:bCs/>
              </w:rPr>
            </w:pPr>
            <w:r>
              <w:rPr>
                <w:rFonts w:hint="eastAsia" w:ascii="宋体" w:hAnsi="宋体" w:cs="宋体"/>
              </w:rPr>
              <w:t>发现故障，及时处理</w:t>
            </w:r>
          </w:p>
        </w:tc>
        <w:tc>
          <w:tcPr>
            <w:tcW w:w="2175" w:type="dxa"/>
          </w:tcPr>
          <w:p>
            <w:pP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pPr>
              <w:jc w:val="center"/>
              <w:rPr>
                <w:rFonts w:ascii="宋体" w:hAnsi="宋体" w:cs="宋体"/>
                <w:bCs/>
              </w:rPr>
            </w:pPr>
            <w:r>
              <w:rPr>
                <w:rFonts w:hint="eastAsia" w:ascii="宋体" w:hAnsi="宋体" w:cs="宋体"/>
                <w:bCs/>
              </w:rPr>
              <w:t>变压器油样</w:t>
            </w:r>
          </w:p>
        </w:tc>
        <w:tc>
          <w:tcPr>
            <w:tcW w:w="3423" w:type="dxa"/>
            <w:vAlign w:val="center"/>
          </w:tcPr>
          <w:p>
            <w:pPr>
              <w:rPr>
                <w:rFonts w:ascii="宋体" w:hAnsi="宋体" w:cs="宋体"/>
                <w:bCs/>
              </w:rPr>
            </w:pPr>
            <w:r>
              <w:rPr>
                <w:rFonts w:hint="eastAsia" w:ascii="宋体" w:hAnsi="宋体" w:cs="宋体"/>
                <w:bCs/>
              </w:rPr>
              <w:t>油样常规试验</w:t>
            </w:r>
          </w:p>
        </w:tc>
        <w:tc>
          <w:tcPr>
            <w:tcW w:w="2475" w:type="dxa"/>
            <w:vAlign w:val="center"/>
          </w:tcPr>
          <w:p>
            <w:pPr>
              <w:jc w:val="center"/>
              <w:rPr>
                <w:rFonts w:ascii="宋体" w:hAnsi="宋体" w:cs="宋体"/>
                <w:bCs/>
              </w:rPr>
            </w:pPr>
            <w:r>
              <w:rPr>
                <w:rFonts w:hint="eastAsia" w:ascii="宋体" w:hAnsi="宋体" w:cs="宋体"/>
              </w:rPr>
              <w:t>发现故障，及时处理</w:t>
            </w:r>
          </w:p>
        </w:tc>
        <w:tc>
          <w:tcPr>
            <w:tcW w:w="2175" w:type="dxa"/>
          </w:tcPr>
          <w:p>
            <w:pP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pPr>
              <w:jc w:val="center"/>
              <w:rPr>
                <w:rFonts w:ascii="宋体" w:hAnsi="宋体" w:cs="宋体"/>
                <w:bCs/>
              </w:rPr>
            </w:pPr>
            <w:r>
              <w:rPr>
                <w:rFonts w:hint="eastAsia" w:ascii="宋体" w:hAnsi="宋体" w:cs="宋体"/>
                <w:bCs/>
              </w:rPr>
              <w:t>高压令克</w:t>
            </w:r>
          </w:p>
        </w:tc>
        <w:tc>
          <w:tcPr>
            <w:tcW w:w="3423" w:type="dxa"/>
            <w:vAlign w:val="center"/>
          </w:tcPr>
          <w:p>
            <w:pPr>
              <w:rPr>
                <w:rFonts w:ascii="宋体" w:hAnsi="宋体" w:cs="宋体"/>
              </w:rPr>
            </w:pPr>
            <w:r>
              <w:rPr>
                <w:rFonts w:hint="eastAsia" w:ascii="宋体" w:hAnsi="宋体" w:cs="宋体"/>
              </w:rPr>
              <w:t>绝缘电阻测试、交流耐压</w:t>
            </w:r>
          </w:p>
        </w:tc>
        <w:tc>
          <w:tcPr>
            <w:tcW w:w="2475" w:type="dxa"/>
            <w:vAlign w:val="center"/>
          </w:tcPr>
          <w:p>
            <w:pPr>
              <w:jc w:val="center"/>
              <w:rPr>
                <w:rFonts w:ascii="宋体" w:hAnsi="宋体" w:cs="宋体"/>
              </w:rPr>
            </w:pPr>
            <w:r>
              <w:rPr>
                <w:rFonts w:hint="eastAsia" w:ascii="宋体" w:hAnsi="宋体" w:cs="宋体"/>
              </w:rPr>
              <w:t>发现故障，及时处理</w:t>
            </w:r>
          </w:p>
        </w:tc>
        <w:tc>
          <w:tcPr>
            <w:tcW w:w="2175"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7" w:type="dxa"/>
            <w:vAlign w:val="center"/>
          </w:tcPr>
          <w:p>
            <w:pPr>
              <w:jc w:val="center"/>
              <w:rPr>
                <w:rFonts w:ascii="宋体" w:hAnsi="宋体" w:cs="宋体"/>
                <w:bCs/>
              </w:rPr>
            </w:pPr>
            <w:r>
              <w:rPr>
                <w:rFonts w:hint="eastAsia" w:ascii="宋体" w:hAnsi="宋体" w:cs="宋体"/>
                <w:bCs/>
              </w:rPr>
              <w:t>高压负荷开关</w:t>
            </w:r>
          </w:p>
        </w:tc>
        <w:tc>
          <w:tcPr>
            <w:tcW w:w="3423" w:type="dxa"/>
            <w:vAlign w:val="center"/>
          </w:tcPr>
          <w:p>
            <w:pPr>
              <w:rPr>
                <w:rFonts w:ascii="宋体" w:hAnsi="宋体" w:cs="宋体"/>
              </w:rPr>
            </w:pPr>
            <w:r>
              <w:rPr>
                <w:rFonts w:hint="eastAsia" w:ascii="宋体" w:hAnsi="宋体" w:cs="宋体"/>
              </w:rPr>
              <w:t>绝缘电阻测试、交流耐压</w:t>
            </w:r>
          </w:p>
        </w:tc>
        <w:tc>
          <w:tcPr>
            <w:tcW w:w="2475" w:type="dxa"/>
            <w:vAlign w:val="center"/>
          </w:tcPr>
          <w:p>
            <w:pPr>
              <w:jc w:val="center"/>
              <w:rPr>
                <w:rFonts w:ascii="宋体" w:hAnsi="宋体" w:cs="宋体"/>
              </w:rPr>
            </w:pPr>
            <w:r>
              <w:rPr>
                <w:rFonts w:hint="eastAsia" w:ascii="宋体" w:hAnsi="宋体" w:cs="宋体"/>
              </w:rPr>
              <w:t>发现故障，及时处理</w:t>
            </w:r>
          </w:p>
        </w:tc>
        <w:tc>
          <w:tcPr>
            <w:tcW w:w="2175"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pPr>
              <w:jc w:val="center"/>
              <w:rPr>
                <w:rFonts w:ascii="宋体" w:hAnsi="宋体" w:cs="宋体"/>
                <w:bCs/>
              </w:rPr>
            </w:pPr>
            <w:r>
              <w:rPr>
                <w:rFonts w:hint="eastAsia" w:ascii="宋体" w:hAnsi="宋体" w:cs="宋体"/>
                <w:bCs/>
              </w:rPr>
              <w:t>接 地 网</w:t>
            </w:r>
          </w:p>
        </w:tc>
        <w:tc>
          <w:tcPr>
            <w:tcW w:w="3423" w:type="dxa"/>
            <w:vAlign w:val="center"/>
          </w:tcPr>
          <w:p>
            <w:pPr>
              <w:rPr>
                <w:rFonts w:ascii="宋体" w:hAnsi="宋体" w:cs="宋体"/>
              </w:rPr>
            </w:pPr>
            <w:r>
              <w:rPr>
                <w:rFonts w:hint="eastAsia" w:ascii="宋体" w:hAnsi="宋体" w:cs="宋体"/>
              </w:rPr>
              <w:t>接地电阻测试</w:t>
            </w:r>
          </w:p>
        </w:tc>
        <w:tc>
          <w:tcPr>
            <w:tcW w:w="2475" w:type="dxa"/>
            <w:vAlign w:val="center"/>
          </w:tcPr>
          <w:p>
            <w:pPr>
              <w:jc w:val="center"/>
              <w:rPr>
                <w:rFonts w:ascii="宋体" w:hAnsi="宋体" w:cs="宋体"/>
              </w:rPr>
            </w:pPr>
            <w:r>
              <w:rPr>
                <w:rFonts w:hint="eastAsia" w:ascii="宋体" w:hAnsi="宋体" w:cs="宋体"/>
              </w:rPr>
              <w:t>发现故障，及时处理</w:t>
            </w:r>
          </w:p>
        </w:tc>
        <w:tc>
          <w:tcPr>
            <w:tcW w:w="2175"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pPr>
              <w:jc w:val="center"/>
              <w:rPr>
                <w:rFonts w:ascii="宋体" w:hAnsi="宋体" w:cs="宋体"/>
                <w:bCs/>
              </w:rPr>
            </w:pPr>
            <w:r>
              <w:rPr>
                <w:rFonts w:hint="eastAsia" w:ascii="宋体" w:hAnsi="宋体" w:cs="宋体"/>
                <w:bCs/>
              </w:rPr>
              <w:t>发 电 机</w:t>
            </w:r>
          </w:p>
        </w:tc>
        <w:tc>
          <w:tcPr>
            <w:tcW w:w="3423" w:type="dxa"/>
            <w:vAlign w:val="center"/>
          </w:tcPr>
          <w:p>
            <w:pPr>
              <w:rPr>
                <w:rFonts w:ascii="宋体" w:hAnsi="宋体" w:cs="宋体"/>
                <w:bCs/>
              </w:rPr>
            </w:pPr>
            <w:r>
              <w:rPr>
                <w:rFonts w:hint="eastAsia" w:ascii="宋体" w:hAnsi="宋体" w:cs="宋体"/>
                <w:bCs/>
              </w:rPr>
              <w:t>发电机闭锁试验、本体试验(绝缘、直流电阻)、自动试验及一次接线图绘制</w:t>
            </w:r>
          </w:p>
        </w:tc>
        <w:tc>
          <w:tcPr>
            <w:tcW w:w="2475" w:type="dxa"/>
            <w:vAlign w:val="center"/>
          </w:tcPr>
          <w:p>
            <w:pPr>
              <w:jc w:val="center"/>
              <w:rPr>
                <w:rFonts w:ascii="宋体" w:hAnsi="宋体" w:cs="宋体"/>
                <w:bCs/>
              </w:rPr>
            </w:pPr>
            <w:r>
              <w:rPr>
                <w:rFonts w:hint="eastAsia" w:ascii="宋体" w:hAnsi="宋体" w:cs="宋体"/>
              </w:rPr>
              <w:t>发现故障，及时处理</w:t>
            </w:r>
          </w:p>
        </w:tc>
        <w:tc>
          <w:tcPr>
            <w:tcW w:w="2175" w:type="dxa"/>
          </w:tcPr>
          <w:p>
            <w:pP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pPr>
              <w:jc w:val="center"/>
              <w:rPr>
                <w:rFonts w:ascii="宋体" w:hAnsi="宋体" w:cs="宋体"/>
                <w:bCs/>
              </w:rPr>
            </w:pPr>
            <w:r>
              <w:rPr>
                <w:rFonts w:hint="eastAsia" w:ascii="宋体" w:hAnsi="宋体" w:cs="宋体"/>
                <w:bCs/>
              </w:rPr>
              <w:t>蓄 电 池</w:t>
            </w:r>
          </w:p>
        </w:tc>
        <w:tc>
          <w:tcPr>
            <w:tcW w:w="3423" w:type="dxa"/>
            <w:vAlign w:val="center"/>
          </w:tcPr>
          <w:p>
            <w:pPr>
              <w:rPr>
                <w:rFonts w:ascii="宋体" w:hAnsi="宋体" w:cs="宋体"/>
                <w:bCs/>
              </w:rPr>
            </w:pPr>
            <w:r>
              <w:rPr>
                <w:rFonts w:hint="eastAsia" w:ascii="宋体" w:hAnsi="宋体" w:cs="宋体"/>
                <w:bCs/>
              </w:rPr>
              <w:t>蓄电池容量测试，放电试验</w:t>
            </w:r>
          </w:p>
        </w:tc>
        <w:tc>
          <w:tcPr>
            <w:tcW w:w="2475" w:type="dxa"/>
            <w:vAlign w:val="center"/>
          </w:tcPr>
          <w:p>
            <w:pPr>
              <w:jc w:val="center"/>
              <w:rPr>
                <w:rFonts w:ascii="宋体" w:hAnsi="宋体" w:cs="宋体"/>
                <w:bCs/>
              </w:rPr>
            </w:pPr>
            <w:r>
              <w:rPr>
                <w:rFonts w:hint="eastAsia" w:ascii="宋体" w:hAnsi="宋体" w:cs="宋体"/>
              </w:rPr>
              <w:t>发现故障，及时处理</w:t>
            </w:r>
          </w:p>
        </w:tc>
        <w:tc>
          <w:tcPr>
            <w:tcW w:w="2175" w:type="dxa"/>
          </w:tcPr>
          <w:p>
            <w:pP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pPr>
              <w:jc w:val="center"/>
              <w:rPr>
                <w:rFonts w:ascii="宋体" w:hAnsi="宋体" w:cs="宋体"/>
                <w:bCs/>
              </w:rPr>
            </w:pPr>
            <w:r>
              <w:rPr>
                <w:rFonts w:hint="eastAsia" w:ascii="宋体" w:hAnsi="宋体" w:cs="宋体"/>
                <w:bCs/>
              </w:rPr>
              <w:t>安全工器具</w:t>
            </w:r>
          </w:p>
        </w:tc>
        <w:tc>
          <w:tcPr>
            <w:tcW w:w="3423" w:type="dxa"/>
            <w:vAlign w:val="center"/>
          </w:tcPr>
          <w:p>
            <w:pPr>
              <w:rPr>
                <w:rFonts w:ascii="宋体" w:hAnsi="宋体" w:cs="宋体"/>
                <w:bCs/>
              </w:rPr>
            </w:pPr>
            <w:r>
              <w:rPr>
                <w:rFonts w:hint="eastAsia" w:ascii="宋体" w:hAnsi="宋体" w:cs="宋体"/>
                <w:bCs/>
              </w:rPr>
              <w:t>绝缘靴、绝缘手套、令克棒、验电器</w:t>
            </w:r>
          </w:p>
        </w:tc>
        <w:tc>
          <w:tcPr>
            <w:tcW w:w="2475" w:type="dxa"/>
            <w:vAlign w:val="center"/>
          </w:tcPr>
          <w:p>
            <w:pPr>
              <w:jc w:val="center"/>
              <w:rPr>
                <w:rFonts w:ascii="宋体" w:hAnsi="宋体" w:cs="宋体"/>
                <w:bCs/>
              </w:rPr>
            </w:pPr>
            <w:r>
              <w:rPr>
                <w:rFonts w:hint="eastAsia" w:ascii="宋体" w:hAnsi="宋体" w:cs="宋体"/>
              </w:rPr>
              <w:t>发现故障，及时处理</w:t>
            </w:r>
          </w:p>
        </w:tc>
        <w:tc>
          <w:tcPr>
            <w:tcW w:w="2175" w:type="dxa"/>
          </w:tcPr>
          <w:p>
            <w:pP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pPr>
              <w:jc w:val="center"/>
              <w:rPr>
                <w:rFonts w:ascii="宋体" w:hAnsi="宋体" w:cs="宋体"/>
                <w:bCs/>
              </w:rPr>
            </w:pPr>
            <w:r>
              <w:rPr>
                <w:rFonts w:hint="eastAsia" w:ascii="宋体" w:hAnsi="宋体" w:cs="宋体"/>
                <w:bCs/>
              </w:rPr>
              <w:t>其它设备</w:t>
            </w:r>
          </w:p>
        </w:tc>
        <w:tc>
          <w:tcPr>
            <w:tcW w:w="3423" w:type="dxa"/>
          </w:tcPr>
          <w:p>
            <w:pPr>
              <w:rPr>
                <w:rFonts w:ascii="宋体" w:hAnsi="宋体" w:cs="宋体"/>
                <w:bCs/>
              </w:rPr>
            </w:pPr>
          </w:p>
        </w:tc>
        <w:tc>
          <w:tcPr>
            <w:tcW w:w="2475" w:type="dxa"/>
            <w:vAlign w:val="center"/>
          </w:tcPr>
          <w:p>
            <w:pPr>
              <w:jc w:val="center"/>
              <w:rPr>
                <w:rFonts w:ascii="宋体" w:hAnsi="宋体" w:cs="宋体"/>
                <w:bCs/>
              </w:rPr>
            </w:pPr>
          </w:p>
        </w:tc>
        <w:tc>
          <w:tcPr>
            <w:tcW w:w="2175" w:type="dxa"/>
          </w:tcPr>
          <w:p>
            <w:pPr>
              <w:rPr>
                <w:rFonts w:ascii="宋体" w:hAnsi="宋体" w:cs="宋体"/>
                <w:bCs/>
              </w:rPr>
            </w:pPr>
          </w:p>
        </w:tc>
      </w:tr>
    </w:tbl>
    <w:p>
      <w:pPr>
        <w:spacing w:line="300" w:lineRule="exact"/>
        <w:rPr>
          <w:rFonts w:ascii="宋体" w:hAnsi="宋体" w:cs="宋体"/>
          <w:b/>
        </w:rPr>
      </w:pPr>
    </w:p>
    <w:p>
      <w:pPr>
        <w:spacing w:line="360" w:lineRule="exact"/>
        <w:rPr>
          <w:rFonts w:ascii="宋体" w:hAnsi="宋体" w:cs="宋体"/>
          <w:b/>
        </w:rPr>
      </w:pPr>
    </w:p>
    <w:p>
      <w:pPr>
        <w:spacing w:line="360" w:lineRule="exact"/>
        <w:rPr>
          <w:rFonts w:ascii="宋体" w:hAnsi="宋体" w:cs="宋体"/>
          <w:b/>
        </w:rPr>
      </w:pPr>
    </w:p>
    <w:p>
      <w:pPr>
        <w:spacing w:line="360" w:lineRule="exact"/>
        <w:rPr>
          <w:rFonts w:ascii="宋体" w:hAnsi="宋体" w:cs="宋体"/>
          <w:b/>
        </w:rPr>
      </w:pPr>
    </w:p>
    <w:p>
      <w:pPr>
        <w:spacing w:line="360" w:lineRule="exact"/>
        <w:rPr>
          <w:rFonts w:ascii="宋体" w:hAnsi="宋体" w:cs="宋体"/>
          <w:b/>
        </w:rPr>
      </w:pPr>
    </w:p>
    <w:p>
      <w:pPr>
        <w:spacing w:line="360" w:lineRule="exact"/>
        <w:rPr>
          <w:rFonts w:ascii="宋体" w:hAnsi="宋体" w:cs="宋体"/>
          <w:b/>
        </w:rPr>
      </w:pPr>
    </w:p>
    <w:p>
      <w:pPr>
        <w:spacing w:line="360" w:lineRule="exact"/>
        <w:rPr>
          <w:rFonts w:ascii="宋体" w:hAnsi="宋体" w:cs="宋体"/>
          <w:b/>
        </w:rPr>
      </w:pPr>
    </w:p>
    <w:p>
      <w:pPr>
        <w:spacing w:line="360" w:lineRule="exact"/>
        <w:rPr>
          <w:rFonts w:ascii="宋体" w:hAnsi="宋体" w:cs="宋体"/>
          <w:b/>
        </w:rPr>
      </w:pPr>
    </w:p>
    <w:p>
      <w:pPr>
        <w:spacing w:line="360" w:lineRule="exact"/>
        <w:rPr>
          <w:rFonts w:ascii="宋体" w:hAnsi="宋体" w:cs="宋体"/>
          <w:b/>
        </w:rPr>
      </w:pPr>
    </w:p>
    <w:p>
      <w:pPr>
        <w:spacing w:line="360" w:lineRule="exact"/>
      </w:pPr>
      <w:r>
        <w:rPr>
          <w:rFonts w:hint="eastAsia" w:ascii="宋体" w:hAnsi="宋体" w:cs="宋体"/>
          <w:b/>
          <w:sz w:val="24"/>
          <w:szCs w:val="24"/>
        </w:rPr>
        <w:t>服务清单二：日常维护服务内容</w:t>
      </w:r>
    </w:p>
    <w:tbl>
      <w:tblPr>
        <w:tblStyle w:val="35"/>
        <w:tblW w:w="9780" w:type="dxa"/>
        <w:tblInd w:w="-6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1680"/>
        <w:gridCol w:w="3615"/>
        <w:gridCol w:w="1740"/>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20" w:type="dxa"/>
            <w:vAlign w:val="center"/>
          </w:tcPr>
          <w:p>
            <w:pPr>
              <w:jc w:val="center"/>
              <w:rPr>
                <w:rFonts w:ascii="宋体" w:hAnsi="宋体" w:cs="宋体"/>
                <w:b/>
                <w:bCs/>
              </w:rPr>
            </w:pPr>
            <w:r>
              <w:rPr>
                <w:rFonts w:hint="eastAsia" w:ascii="宋体" w:hAnsi="宋体" w:cs="宋体"/>
                <w:b/>
                <w:bCs/>
              </w:rPr>
              <w:t>不停电巡视部分</w:t>
            </w:r>
          </w:p>
        </w:tc>
        <w:tc>
          <w:tcPr>
            <w:tcW w:w="1680" w:type="dxa"/>
            <w:vAlign w:val="center"/>
          </w:tcPr>
          <w:p>
            <w:pPr>
              <w:jc w:val="center"/>
              <w:rPr>
                <w:rFonts w:ascii="宋体" w:hAnsi="宋体" w:cs="宋体"/>
                <w:b/>
                <w:bCs/>
              </w:rPr>
            </w:pPr>
            <w:r>
              <w:rPr>
                <w:rFonts w:hint="eastAsia" w:ascii="宋体" w:hAnsi="宋体" w:cs="宋体"/>
                <w:b/>
                <w:bCs/>
              </w:rPr>
              <w:t>主要巡视设备（部位）</w:t>
            </w:r>
          </w:p>
        </w:tc>
        <w:tc>
          <w:tcPr>
            <w:tcW w:w="3615" w:type="dxa"/>
            <w:vAlign w:val="center"/>
          </w:tcPr>
          <w:p>
            <w:pPr>
              <w:jc w:val="center"/>
              <w:rPr>
                <w:rFonts w:ascii="宋体" w:hAnsi="宋体" w:cs="宋体"/>
                <w:b/>
                <w:bCs/>
              </w:rPr>
            </w:pPr>
            <w:r>
              <w:rPr>
                <w:rFonts w:hint="eastAsia" w:ascii="宋体" w:hAnsi="宋体" w:cs="宋体"/>
                <w:b/>
                <w:bCs/>
              </w:rPr>
              <w:t>主要检查内容</w:t>
            </w:r>
          </w:p>
        </w:tc>
        <w:tc>
          <w:tcPr>
            <w:tcW w:w="1740" w:type="dxa"/>
            <w:vAlign w:val="center"/>
          </w:tcPr>
          <w:p>
            <w:pPr>
              <w:jc w:val="center"/>
              <w:rPr>
                <w:rFonts w:ascii="宋体" w:hAnsi="宋体" w:cs="宋体"/>
                <w:b/>
                <w:bCs/>
              </w:rPr>
            </w:pPr>
            <w:r>
              <w:rPr>
                <w:rFonts w:hint="eastAsia" w:ascii="宋体" w:hAnsi="宋体" w:cs="宋体"/>
                <w:b/>
                <w:bCs/>
              </w:rPr>
              <w:t>故障处理</w:t>
            </w:r>
          </w:p>
        </w:tc>
        <w:tc>
          <w:tcPr>
            <w:tcW w:w="1425" w:type="dxa"/>
            <w:vAlign w:val="center"/>
          </w:tcPr>
          <w:p>
            <w:pPr>
              <w:jc w:val="center"/>
              <w:rPr>
                <w:rFonts w:ascii="宋体" w:hAnsi="宋体" w:cs="宋体"/>
                <w:b/>
                <w:bCs/>
              </w:rPr>
            </w:pPr>
            <w:r>
              <w:rPr>
                <w:rFonts w:hint="eastAsia" w:ascii="宋体" w:hAnsi="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Merge w:val="restart"/>
            <w:vAlign w:val="center"/>
          </w:tcPr>
          <w:p>
            <w:pPr>
              <w:jc w:val="center"/>
              <w:rPr>
                <w:rFonts w:ascii="宋体" w:hAnsi="宋体" w:cs="宋体"/>
                <w:bCs/>
              </w:rPr>
            </w:pPr>
            <w:r>
              <w:rPr>
                <w:rFonts w:hint="eastAsia" w:ascii="宋体" w:hAnsi="宋体" w:cs="宋体"/>
                <w:bCs/>
              </w:rPr>
              <w:t>干式变压器</w:t>
            </w:r>
          </w:p>
        </w:tc>
        <w:tc>
          <w:tcPr>
            <w:tcW w:w="1680" w:type="dxa"/>
            <w:vAlign w:val="center"/>
          </w:tcPr>
          <w:p>
            <w:pPr>
              <w:jc w:val="center"/>
              <w:rPr>
                <w:rFonts w:ascii="宋体" w:hAnsi="宋体" w:cs="宋体"/>
                <w:bCs/>
              </w:rPr>
            </w:pPr>
            <w:r>
              <w:rPr>
                <w:rFonts w:hint="eastAsia" w:ascii="宋体" w:hAnsi="宋体" w:cs="宋体"/>
                <w:bCs/>
              </w:rPr>
              <w:t>外观检查</w:t>
            </w:r>
          </w:p>
        </w:tc>
        <w:tc>
          <w:tcPr>
            <w:tcW w:w="3615" w:type="dxa"/>
            <w:vAlign w:val="center"/>
          </w:tcPr>
          <w:p>
            <w:pPr>
              <w:rPr>
                <w:rFonts w:ascii="宋体" w:hAnsi="宋体" w:cs="宋体"/>
                <w:bCs/>
              </w:rPr>
            </w:pPr>
            <w:r>
              <w:rPr>
                <w:rFonts w:hint="eastAsia" w:ascii="宋体" w:hAnsi="宋体" w:cs="宋体"/>
                <w:bCs/>
              </w:rPr>
              <w:t>变压器有无积尘、绕组绝缘有无破裂、支柱绝缘子有无破裂、外壳接地是否良好</w:t>
            </w:r>
          </w:p>
        </w:tc>
        <w:tc>
          <w:tcPr>
            <w:tcW w:w="1740" w:type="dxa"/>
            <w:vAlign w:val="center"/>
          </w:tcPr>
          <w:p>
            <w:pPr>
              <w:jc w:val="center"/>
              <w:rPr>
                <w:rFonts w:ascii="宋体" w:hAnsi="宋体" w:cs="宋体"/>
                <w:bCs/>
              </w:rPr>
            </w:pPr>
            <w:r>
              <w:rPr>
                <w:rFonts w:hint="eastAsia" w:ascii="宋体" w:hAnsi="宋体" w:cs="宋体"/>
              </w:rPr>
              <w:t>发现故障，及时处理</w:t>
            </w:r>
          </w:p>
        </w:tc>
        <w:tc>
          <w:tcPr>
            <w:tcW w:w="1425" w:type="dxa"/>
          </w:tcPr>
          <w:p>
            <w:pP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Merge w:val="continue"/>
          </w:tcPr>
          <w:p>
            <w:pPr>
              <w:rPr>
                <w:rFonts w:ascii="宋体" w:hAnsi="宋体" w:cs="宋体"/>
              </w:rPr>
            </w:pPr>
          </w:p>
        </w:tc>
        <w:tc>
          <w:tcPr>
            <w:tcW w:w="1680" w:type="dxa"/>
            <w:vAlign w:val="center"/>
          </w:tcPr>
          <w:p>
            <w:pPr>
              <w:jc w:val="center"/>
              <w:rPr>
                <w:rFonts w:ascii="宋体" w:hAnsi="宋体" w:cs="宋体"/>
                <w:bCs/>
              </w:rPr>
            </w:pPr>
            <w:r>
              <w:rPr>
                <w:rFonts w:hint="eastAsia" w:ascii="宋体" w:hAnsi="宋体" w:cs="宋体"/>
                <w:bCs/>
              </w:rPr>
              <w:t>变压器负荷监测</w:t>
            </w:r>
          </w:p>
        </w:tc>
        <w:tc>
          <w:tcPr>
            <w:tcW w:w="3615" w:type="dxa"/>
            <w:vAlign w:val="center"/>
          </w:tcPr>
          <w:p>
            <w:pPr>
              <w:rPr>
                <w:rFonts w:ascii="宋体" w:hAnsi="宋体" w:cs="宋体"/>
                <w:bCs/>
              </w:rPr>
            </w:pPr>
            <w:r>
              <w:rPr>
                <w:rFonts w:hint="eastAsia" w:ascii="宋体" w:hAnsi="宋体" w:cs="宋体"/>
              </w:rPr>
              <w:t>变压器三相电流、电压是否平衡、是否超额定负荷</w:t>
            </w:r>
          </w:p>
        </w:tc>
        <w:tc>
          <w:tcPr>
            <w:tcW w:w="1740" w:type="dxa"/>
            <w:vAlign w:val="center"/>
          </w:tcPr>
          <w:p>
            <w:pPr>
              <w:jc w:val="center"/>
              <w:rPr>
                <w:rFonts w:ascii="宋体" w:hAnsi="宋体" w:cs="宋体"/>
                <w:bCs/>
              </w:rPr>
            </w:pPr>
            <w:r>
              <w:rPr>
                <w:rFonts w:hint="eastAsia" w:ascii="宋体" w:hAnsi="宋体" w:cs="宋体"/>
              </w:rPr>
              <w:t>发现故障，及时处理</w:t>
            </w:r>
          </w:p>
        </w:tc>
        <w:tc>
          <w:tcPr>
            <w:tcW w:w="1425" w:type="dxa"/>
          </w:tcPr>
          <w:p>
            <w:pP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Merge w:val="continue"/>
          </w:tcPr>
          <w:p>
            <w:pPr>
              <w:rPr>
                <w:rFonts w:ascii="宋体" w:hAnsi="宋体" w:cs="宋体"/>
              </w:rPr>
            </w:pPr>
          </w:p>
        </w:tc>
        <w:tc>
          <w:tcPr>
            <w:tcW w:w="1680" w:type="dxa"/>
            <w:vAlign w:val="center"/>
          </w:tcPr>
          <w:p>
            <w:pPr>
              <w:jc w:val="center"/>
              <w:rPr>
                <w:rFonts w:ascii="宋体" w:hAnsi="宋体" w:cs="宋体"/>
                <w:bCs/>
              </w:rPr>
            </w:pPr>
            <w:r>
              <w:rPr>
                <w:rFonts w:hint="eastAsia" w:ascii="宋体" w:hAnsi="宋体" w:cs="宋体"/>
                <w:bCs/>
              </w:rPr>
              <w:t>高、低压接线柱</w:t>
            </w:r>
          </w:p>
        </w:tc>
        <w:tc>
          <w:tcPr>
            <w:tcW w:w="3615" w:type="dxa"/>
            <w:vAlign w:val="center"/>
          </w:tcPr>
          <w:p>
            <w:pPr>
              <w:rPr>
                <w:rFonts w:ascii="宋体" w:hAnsi="宋体" w:cs="宋体"/>
                <w:bCs/>
              </w:rPr>
            </w:pPr>
            <w:r>
              <w:rPr>
                <w:rFonts w:hint="eastAsia" w:ascii="宋体" w:hAnsi="宋体" w:cs="宋体"/>
                <w:bCs/>
              </w:rPr>
              <w:t>有无安装绝缘护套、测温仪检测接点有无发热现象</w:t>
            </w:r>
          </w:p>
        </w:tc>
        <w:tc>
          <w:tcPr>
            <w:tcW w:w="1740" w:type="dxa"/>
            <w:vAlign w:val="center"/>
          </w:tcPr>
          <w:p>
            <w:pPr>
              <w:jc w:val="center"/>
              <w:rPr>
                <w:rFonts w:ascii="宋体" w:hAnsi="宋体" w:cs="宋体"/>
                <w:bCs/>
              </w:rPr>
            </w:pPr>
            <w:r>
              <w:rPr>
                <w:rFonts w:hint="eastAsia" w:ascii="宋体" w:hAnsi="宋体" w:cs="宋体"/>
              </w:rPr>
              <w:t>发现故障，及时处理</w:t>
            </w:r>
          </w:p>
        </w:tc>
        <w:tc>
          <w:tcPr>
            <w:tcW w:w="1425" w:type="dxa"/>
          </w:tcPr>
          <w:p>
            <w:pP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320" w:type="dxa"/>
            <w:vMerge w:val="continue"/>
          </w:tcPr>
          <w:p>
            <w:pPr>
              <w:rPr>
                <w:rFonts w:ascii="宋体" w:hAnsi="宋体" w:cs="宋体"/>
              </w:rPr>
            </w:pPr>
          </w:p>
        </w:tc>
        <w:tc>
          <w:tcPr>
            <w:tcW w:w="1680" w:type="dxa"/>
            <w:vAlign w:val="center"/>
          </w:tcPr>
          <w:p>
            <w:pPr>
              <w:jc w:val="center"/>
              <w:rPr>
                <w:rFonts w:ascii="宋体" w:hAnsi="宋体" w:cs="宋体"/>
                <w:bCs/>
              </w:rPr>
            </w:pPr>
            <w:r>
              <w:rPr>
                <w:rFonts w:hint="eastAsia" w:ascii="宋体" w:hAnsi="宋体" w:cs="宋体"/>
                <w:bCs/>
              </w:rPr>
              <w:t>变压器运行声音</w:t>
            </w:r>
          </w:p>
        </w:tc>
        <w:tc>
          <w:tcPr>
            <w:tcW w:w="3615" w:type="dxa"/>
            <w:vAlign w:val="center"/>
          </w:tcPr>
          <w:p>
            <w:pPr>
              <w:rPr>
                <w:rFonts w:ascii="宋体" w:hAnsi="宋体" w:cs="宋体"/>
                <w:bCs/>
              </w:rPr>
            </w:pPr>
            <w:r>
              <w:rPr>
                <w:rFonts w:hint="eastAsia" w:ascii="宋体" w:hAnsi="宋体" w:cs="宋体"/>
                <w:bCs/>
              </w:rPr>
              <w:t>有无异响（应为连续的嗡嗡声）</w:t>
            </w:r>
          </w:p>
        </w:tc>
        <w:tc>
          <w:tcPr>
            <w:tcW w:w="1740" w:type="dxa"/>
            <w:vAlign w:val="center"/>
          </w:tcPr>
          <w:p>
            <w:pPr>
              <w:jc w:val="center"/>
              <w:rPr>
                <w:rFonts w:ascii="宋体" w:hAnsi="宋体" w:cs="宋体"/>
                <w:bCs/>
              </w:rPr>
            </w:pPr>
            <w:r>
              <w:rPr>
                <w:rFonts w:hint="eastAsia" w:ascii="宋体" w:hAnsi="宋体" w:cs="宋体"/>
              </w:rPr>
              <w:t>发现故障，及时处理</w:t>
            </w:r>
          </w:p>
        </w:tc>
        <w:tc>
          <w:tcPr>
            <w:tcW w:w="1425" w:type="dxa"/>
          </w:tcPr>
          <w:p>
            <w:pP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320" w:type="dxa"/>
            <w:vMerge w:val="continue"/>
          </w:tcPr>
          <w:p>
            <w:pPr>
              <w:rPr>
                <w:rFonts w:ascii="宋体" w:hAnsi="宋体" w:cs="宋体"/>
              </w:rPr>
            </w:pPr>
          </w:p>
        </w:tc>
        <w:tc>
          <w:tcPr>
            <w:tcW w:w="1680" w:type="dxa"/>
            <w:vAlign w:val="center"/>
          </w:tcPr>
          <w:p>
            <w:pPr>
              <w:jc w:val="center"/>
              <w:rPr>
                <w:rFonts w:ascii="宋体" w:hAnsi="宋体" w:cs="宋体"/>
                <w:bCs/>
              </w:rPr>
            </w:pPr>
            <w:r>
              <w:rPr>
                <w:rFonts w:hint="eastAsia" w:ascii="宋体" w:hAnsi="宋体" w:cs="宋体"/>
                <w:bCs/>
              </w:rPr>
              <w:t>高压组别联接杆</w:t>
            </w:r>
          </w:p>
        </w:tc>
        <w:tc>
          <w:tcPr>
            <w:tcW w:w="3615" w:type="dxa"/>
            <w:vAlign w:val="center"/>
          </w:tcPr>
          <w:p>
            <w:pPr>
              <w:rPr>
                <w:rFonts w:ascii="宋体" w:hAnsi="宋体" w:cs="宋体"/>
                <w:bCs/>
              </w:rPr>
            </w:pPr>
            <w:r>
              <w:rPr>
                <w:rFonts w:hint="eastAsia" w:ascii="宋体" w:hAnsi="宋体" w:cs="宋体"/>
                <w:bCs/>
              </w:rPr>
              <w:t>有无断裂痕迹、绝缘距离是否符合要求(&gt;12.5cm)</w:t>
            </w:r>
          </w:p>
        </w:tc>
        <w:tc>
          <w:tcPr>
            <w:tcW w:w="1740" w:type="dxa"/>
            <w:vAlign w:val="center"/>
          </w:tcPr>
          <w:p>
            <w:pPr>
              <w:jc w:val="center"/>
              <w:rPr>
                <w:rFonts w:ascii="宋体" w:hAnsi="宋体" w:cs="宋体"/>
                <w:bCs/>
              </w:rPr>
            </w:pPr>
            <w:r>
              <w:rPr>
                <w:rFonts w:hint="eastAsia" w:ascii="宋体" w:hAnsi="宋体" w:cs="宋体"/>
              </w:rPr>
              <w:t>发现故障，及时处理</w:t>
            </w:r>
          </w:p>
        </w:tc>
        <w:tc>
          <w:tcPr>
            <w:tcW w:w="1425" w:type="dxa"/>
          </w:tcPr>
          <w:p>
            <w:pP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Merge w:val="continue"/>
          </w:tcPr>
          <w:p>
            <w:pPr>
              <w:rPr>
                <w:rFonts w:ascii="宋体" w:hAnsi="宋体" w:cs="宋体"/>
              </w:rPr>
            </w:pPr>
          </w:p>
        </w:tc>
        <w:tc>
          <w:tcPr>
            <w:tcW w:w="1680" w:type="dxa"/>
            <w:vAlign w:val="center"/>
          </w:tcPr>
          <w:p>
            <w:pPr>
              <w:jc w:val="center"/>
              <w:rPr>
                <w:rFonts w:ascii="宋体" w:hAnsi="宋体" w:cs="宋体"/>
                <w:bCs/>
              </w:rPr>
            </w:pPr>
            <w:r>
              <w:rPr>
                <w:rFonts w:hint="eastAsia" w:ascii="宋体" w:hAnsi="宋体" w:cs="宋体"/>
                <w:bCs/>
              </w:rPr>
              <w:t>变压器铁芯温度</w:t>
            </w:r>
          </w:p>
        </w:tc>
        <w:tc>
          <w:tcPr>
            <w:tcW w:w="3615" w:type="dxa"/>
            <w:vAlign w:val="center"/>
          </w:tcPr>
          <w:p>
            <w:pPr>
              <w:rPr>
                <w:rFonts w:ascii="宋体" w:hAnsi="宋体" w:cs="宋体"/>
                <w:bCs/>
              </w:rPr>
            </w:pPr>
            <w:r>
              <w:rPr>
                <w:rFonts w:hint="eastAsia" w:ascii="宋体" w:hAnsi="宋体" w:cs="宋体"/>
                <w:bCs/>
              </w:rPr>
              <w:t>测温枪检测铁芯温度（铁芯温度＜120℃）</w:t>
            </w:r>
          </w:p>
        </w:tc>
        <w:tc>
          <w:tcPr>
            <w:tcW w:w="1740" w:type="dxa"/>
            <w:vAlign w:val="center"/>
          </w:tcPr>
          <w:p>
            <w:pPr>
              <w:jc w:val="center"/>
              <w:rPr>
                <w:rFonts w:ascii="宋体" w:hAnsi="宋体" w:cs="宋体"/>
                <w:bCs/>
              </w:rPr>
            </w:pPr>
            <w:r>
              <w:rPr>
                <w:rFonts w:hint="eastAsia" w:ascii="宋体" w:hAnsi="宋体" w:cs="宋体"/>
              </w:rPr>
              <w:t>发现故障，及时处理</w:t>
            </w:r>
          </w:p>
        </w:tc>
        <w:tc>
          <w:tcPr>
            <w:tcW w:w="1425" w:type="dxa"/>
          </w:tcPr>
          <w:p>
            <w:pP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Merge w:val="continue"/>
          </w:tcPr>
          <w:p>
            <w:pPr>
              <w:rPr>
                <w:rFonts w:ascii="宋体" w:hAnsi="宋体" w:cs="宋体"/>
              </w:rPr>
            </w:pPr>
          </w:p>
        </w:tc>
        <w:tc>
          <w:tcPr>
            <w:tcW w:w="1680" w:type="dxa"/>
            <w:vAlign w:val="center"/>
          </w:tcPr>
          <w:p>
            <w:pPr>
              <w:jc w:val="center"/>
              <w:rPr>
                <w:rFonts w:ascii="宋体" w:hAnsi="宋体" w:cs="宋体"/>
                <w:bCs/>
              </w:rPr>
            </w:pPr>
            <w:r>
              <w:rPr>
                <w:rFonts w:hint="eastAsia" w:ascii="宋体" w:hAnsi="宋体" w:cs="宋体"/>
                <w:bCs/>
              </w:rPr>
              <w:t>变压器温控仪</w:t>
            </w:r>
          </w:p>
        </w:tc>
        <w:tc>
          <w:tcPr>
            <w:tcW w:w="3615" w:type="dxa"/>
            <w:vAlign w:val="center"/>
          </w:tcPr>
          <w:p>
            <w:pPr>
              <w:rPr>
                <w:rFonts w:ascii="宋体" w:hAnsi="宋体" w:cs="宋体"/>
                <w:bCs/>
              </w:rPr>
            </w:pPr>
            <w:r>
              <w:rPr>
                <w:rFonts w:hint="eastAsia" w:ascii="宋体" w:hAnsi="宋体" w:cs="宋体"/>
                <w:bCs/>
              </w:rPr>
              <w:t>运行是否正常、温度显示是否正确</w:t>
            </w:r>
          </w:p>
        </w:tc>
        <w:tc>
          <w:tcPr>
            <w:tcW w:w="1740" w:type="dxa"/>
            <w:vAlign w:val="center"/>
          </w:tcPr>
          <w:p>
            <w:pPr>
              <w:jc w:val="center"/>
              <w:rPr>
                <w:rFonts w:ascii="宋体" w:hAnsi="宋体" w:cs="宋体"/>
                <w:bCs/>
              </w:rPr>
            </w:pPr>
            <w:r>
              <w:rPr>
                <w:rFonts w:hint="eastAsia" w:ascii="宋体" w:hAnsi="宋体" w:cs="宋体"/>
              </w:rPr>
              <w:t>发现故障，及时处理</w:t>
            </w:r>
          </w:p>
        </w:tc>
        <w:tc>
          <w:tcPr>
            <w:tcW w:w="1425" w:type="dxa"/>
          </w:tcPr>
          <w:p>
            <w:pP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320" w:type="dxa"/>
            <w:vMerge w:val="continue"/>
          </w:tcPr>
          <w:p>
            <w:pPr>
              <w:rPr>
                <w:rFonts w:ascii="宋体" w:hAnsi="宋体" w:cs="宋体"/>
              </w:rPr>
            </w:pPr>
          </w:p>
        </w:tc>
        <w:tc>
          <w:tcPr>
            <w:tcW w:w="1680" w:type="dxa"/>
            <w:vAlign w:val="center"/>
          </w:tcPr>
          <w:p>
            <w:pPr>
              <w:jc w:val="center"/>
              <w:rPr>
                <w:rFonts w:ascii="宋体" w:hAnsi="宋体" w:cs="宋体"/>
                <w:bCs/>
              </w:rPr>
            </w:pPr>
            <w:r>
              <w:rPr>
                <w:rFonts w:hint="eastAsia" w:ascii="宋体" w:hAnsi="宋体" w:cs="宋体"/>
                <w:bCs/>
              </w:rPr>
              <w:t>变压器散热风机</w:t>
            </w:r>
          </w:p>
        </w:tc>
        <w:tc>
          <w:tcPr>
            <w:tcW w:w="3615" w:type="dxa"/>
            <w:vAlign w:val="center"/>
          </w:tcPr>
          <w:p>
            <w:pPr>
              <w:rPr>
                <w:rFonts w:ascii="宋体" w:hAnsi="宋体" w:cs="宋体"/>
                <w:bCs/>
              </w:rPr>
            </w:pPr>
            <w:r>
              <w:rPr>
                <w:rFonts w:hint="eastAsia" w:ascii="宋体" w:hAnsi="宋体" w:cs="宋体"/>
                <w:bCs/>
              </w:rPr>
              <w:t>启动及运行是否正常、有无碰壳现象</w:t>
            </w:r>
          </w:p>
        </w:tc>
        <w:tc>
          <w:tcPr>
            <w:tcW w:w="1740" w:type="dxa"/>
            <w:vAlign w:val="center"/>
          </w:tcPr>
          <w:p>
            <w:pPr>
              <w:jc w:val="center"/>
              <w:rPr>
                <w:rFonts w:ascii="宋体" w:hAnsi="宋体" w:cs="宋体"/>
                <w:bCs/>
              </w:rPr>
            </w:pPr>
            <w:r>
              <w:rPr>
                <w:rFonts w:hint="eastAsia" w:ascii="宋体" w:hAnsi="宋体" w:cs="宋体"/>
              </w:rPr>
              <w:t>发现故障，及时处理</w:t>
            </w:r>
          </w:p>
        </w:tc>
        <w:tc>
          <w:tcPr>
            <w:tcW w:w="1425" w:type="dxa"/>
          </w:tcPr>
          <w:p>
            <w:pP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320" w:type="dxa"/>
            <w:vMerge w:val="restart"/>
            <w:vAlign w:val="center"/>
          </w:tcPr>
          <w:p>
            <w:pPr>
              <w:jc w:val="center"/>
              <w:rPr>
                <w:rFonts w:ascii="宋体" w:hAnsi="宋体" w:cs="宋体"/>
                <w:bCs/>
              </w:rPr>
            </w:pPr>
            <w:r>
              <w:rPr>
                <w:rFonts w:hint="eastAsia" w:ascii="宋体" w:hAnsi="宋体" w:cs="宋体"/>
                <w:bCs/>
              </w:rPr>
              <w:t>油浸式变压器</w:t>
            </w:r>
          </w:p>
        </w:tc>
        <w:tc>
          <w:tcPr>
            <w:tcW w:w="1680" w:type="dxa"/>
            <w:vAlign w:val="center"/>
          </w:tcPr>
          <w:p>
            <w:pPr>
              <w:jc w:val="center"/>
              <w:rPr>
                <w:rFonts w:ascii="宋体" w:hAnsi="宋体" w:cs="宋体"/>
                <w:bCs/>
              </w:rPr>
            </w:pPr>
            <w:r>
              <w:rPr>
                <w:rFonts w:hint="eastAsia" w:ascii="宋体" w:hAnsi="宋体" w:cs="宋体"/>
                <w:bCs/>
              </w:rPr>
              <w:t>外观检查</w:t>
            </w:r>
          </w:p>
        </w:tc>
        <w:tc>
          <w:tcPr>
            <w:tcW w:w="3615" w:type="dxa"/>
            <w:vAlign w:val="center"/>
          </w:tcPr>
          <w:p>
            <w:pPr>
              <w:rPr>
                <w:rFonts w:ascii="宋体" w:hAnsi="宋体" w:cs="宋体"/>
                <w:bCs/>
              </w:rPr>
            </w:pPr>
            <w:r>
              <w:rPr>
                <w:rFonts w:hint="eastAsia" w:ascii="宋体" w:hAnsi="宋体" w:cs="宋体"/>
                <w:bCs/>
              </w:rPr>
              <w:t>有无积尘、有无树枝、藤蔓、杂草等异物靠近、高低压套管有无破裂、渗油、外壳接地是否良好</w:t>
            </w:r>
          </w:p>
        </w:tc>
        <w:tc>
          <w:tcPr>
            <w:tcW w:w="1740" w:type="dxa"/>
            <w:vAlign w:val="center"/>
          </w:tcPr>
          <w:p>
            <w:pPr>
              <w:jc w:val="center"/>
              <w:rPr>
                <w:rFonts w:ascii="宋体" w:hAnsi="宋体" w:cs="宋体"/>
                <w:bCs/>
              </w:rPr>
            </w:pPr>
            <w:r>
              <w:rPr>
                <w:rFonts w:hint="eastAsia" w:ascii="宋体" w:hAnsi="宋体" w:cs="宋体"/>
              </w:rPr>
              <w:t>发现故障，及时处理</w:t>
            </w:r>
          </w:p>
        </w:tc>
        <w:tc>
          <w:tcPr>
            <w:tcW w:w="1425" w:type="dxa"/>
          </w:tcPr>
          <w:p>
            <w:pP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320" w:type="dxa"/>
            <w:vMerge w:val="continue"/>
          </w:tcPr>
          <w:p>
            <w:pPr>
              <w:rPr>
                <w:rFonts w:ascii="宋体" w:hAnsi="宋体" w:cs="宋体"/>
              </w:rPr>
            </w:pPr>
          </w:p>
        </w:tc>
        <w:tc>
          <w:tcPr>
            <w:tcW w:w="1680" w:type="dxa"/>
            <w:vAlign w:val="center"/>
          </w:tcPr>
          <w:p>
            <w:pPr>
              <w:jc w:val="center"/>
              <w:rPr>
                <w:rFonts w:ascii="宋体" w:hAnsi="宋体" w:cs="宋体"/>
                <w:bCs/>
              </w:rPr>
            </w:pPr>
            <w:r>
              <w:rPr>
                <w:rFonts w:hint="eastAsia" w:ascii="宋体" w:hAnsi="宋体" w:cs="宋体"/>
                <w:bCs/>
              </w:rPr>
              <w:t>变压器负荷监测</w:t>
            </w:r>
          </w:p>
        </w:tc>
        <w:tc>
          <w:tcPr>
            <w:tcW w:w="3615" w:type="dxa"/>
            <w:vAlign w:val="center"/>
          </w:tcPr>
          <w:p>
            <w:pPr>
              <w:rPr>
                <w:rFonts w:ascii="宋体" w:hAnsi="宋体" w:cs="宋体"/>
                <w:bCs/>
              </w:rPr>
            </w:pPr>
            <w:r>
              <w:rPr>
                <w:rFonts w:hint="eastAsia" w:ascii="宋体" w:hAnsi="宋体" w:cs="宋体"/>
              </w:rPr>
              <w:t>变压器三相电流、电压是否平衡、是否超额定负荷</w:t>
            </w:r>
          </w:p>
        </w:tc>
        <w:tc>
          <w:tcPr>
            <w:tcW w:w="1740" w:type="dxa"/>
            <w:vAlign w:val="center"/>
          </w:tcPr>
          <w:p>
            <w:pPr>
              <w:jc w:val="center"/>
              <w:rPr>
                <w:rFonts w:ascii="宋体" w:hAnsi="宋体" w:cs="宋体"/>
                <w:bCs/>
              </w:rPr>
            </w:pPr>
            <w:r>
              <w:rPr>
                <w:rFonts w:hint="eastAsia" w:ascii="宋体" w:hAnsi="宋体" w:cs="宋体"/>
              </w:rPr>
              <w:t>发现故障，及时处理</w:t>
            </w:r>
          </w:p>
        </w:tc>
        <w:tc>
          <w:tcPr>
            <w:tcW w:w="1425" w:type="dxa"/>
          </w:tcPr>
          <w:p>
            <w:pP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320" w:type="dxa"/>
            <w:vMerge w:val="continue"/>
          </w:tcPr>
          <w:p>
            <w:pPr>
              <w:rPr>
                <w:rFonts w:ascii="宋体" w:hAnsi="宋体" w:cs="宋体"/>
              </w:rPr>
            </w:pPr>
          </w:p>
        </w:tc>
        <w:tc>
          <w:tcPr>
            <w:tcW w:w="1680" w:type="dxa"/>
            <w:vAlign w:val="center"/>
          </w:tcPr>
          <w:p>
            <w:pPr>
              <w:jc w:val="center"/>
              <w:rPr>
                <w:rFonts w:ascii="宋体" w:hAnsi="宋体" w:cs="宋体"/>
                <w:bCs/>
              </w:rPr>
            </w:pPr>
            <w:r>
              <w:rPr>
                <w:rFonts w:hint="eastAsia" w:ascii="宋体" w:hAnsi="宋体" w:cs="宋体"/>
                <w:bCs/>
              </w:rPr>
              <w:t>高、低压接线柱</w:t>
            </w:r>
          </w:p>
        </w:tc>
        <w:tc>
          <w:tcPr>
            <w:tcW w:w="3615" w:type="dxa"/>
            <w:vAlign w:val="center"/>
          </w:tcPr>
          <w:p>
            <w:pPr>
              <w:rPr>
                <w:rFonts w:ascii="宋体" w:hAnsi="宋体" w:cs="宋体"/>
                <w:bCs/>
              </w:rPr>
            </w:pPr>
            <w:r>
              <w:rPr>
                <w:rFonts w:hint="eastAsia" w:ascii="宋体" w:hAnsi="宋体" w:cs="宋体"/>
                <w:bCs/>
              </w:rPr>
              <w:t>有无安装绝缘护套、测温仪检测接点有无发热现象</w:t>
            </w:r>
          </w:p>
        </w:tc>
        <w:tc>
          <w:tcPr>
            <w:tcW w:w="1740" w:type="dxa"/>
            <w:vAlign w:val="center"/>
          </w:tcPr>
          <w:p>
            <w:pPr>
              <w:jc w:val="center"/>
              <w:rPr>
                <w:rFonts w:ascii="宋体" w:hAnsi="宋体" w:cs="宋体"/>
                <w:bCs/>
              </w:rPr>
            </w:pPr>
            <w:r>
              <w:rPr>
                <w:rFonts w:hint="eastAsia" w:ascii="宋体" w:hAnsi="宋体" w:cs="宋体"/>
              </w:rPr>
              <w:t>发现故障，及时处理</w:t>
            </w:r>
          </w:p>
        </w:tc>
        <w:tc>
          <w:tcPr>
            <w:tcW w:w="1425" w:type="dxa"/>
          </w:tcPr>
          <w:p>
            <w:pP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320" w:type="dxa"/>
            <w:vMerge w:val="continue"/>
          </w:tcPr>
          <w:p>
            <w:pPr>
              <w:rPr>
                <w:rFonts w:ascii="宋体" w:hAnsi="宋体" w:cs="宋体"/>
              </w:rPr>
            </w:pPr>
          </w:p>
        </w:tc>
        <w:tc>
          <w:tcPr>
            <w:tcW w:w="1680" w:type="dxa"/>
            <w:vAlign w:val="center"/>
          </w:tcPr>
          <w:p>
            <w:pPr>
              <w:jc w:val="center"/>
              <w:rPr>
                <w:rFonts w:ascii="宋体" w:hAnsi="宋体" w:cs="宋体"/>
                <w:bCs/>
              </w:rPr>
            </w:pPr>
            <w:r>
              <w:rPr>
                <w:rFonts w:hint="eastAsia" w:ascii="宋体" w:hAnsi="宋体" w:cs="宋体"/>
                <w:bCs/>
              </w:rPr>
              <w:t>呼吸器</w:t>
            </w:r>
          </w:p>
        </w:tc>
        <w:tc>
          <w:tcPr>
            <w:tcW w:w="3615" w:type="dxa"/>
            <w:vAlign w:val="center"/>
          </w:tcPr>
          <w:p>
            <w:pPr>
              <w:rPr>
                <w:rFonts w:ascii="宋体" w:hAnsi="宋体" w:cs="宋体"/>
                <w:bCs/>
              </w:rPr>
            </w:pPr>
            <w:r>
              <w:rPr>
                <w:rFonts w:hint="eastAsia" w:ascii="宋体" w:hAnsi="宋体" w:cs="宋体"/>
                <w:bCs/>
              </w:rPr>
              <w:t>观察有无变色</w:t>
            </w:r>
          </w:p>
        </w:tc>
        <w:tc>
          <w:tcPr>
            <w:tcW w:w="1740" w:type="dxa"/>
            <w:vAlign w:val="center"/>
          </w:tcPr>
          <w:p>
            <w:pPr>
              <w:jc w:val="center"/>
              <w:rPr>
                <w:rFonts w:ascii="宋体" w:hAnsi="宋体" w:cs="宋体"/>
                <w:bCs/>
              </w:rPr>
            </w:pPr>
            <w:r>
              <w:rPr>
                <w:rFonts w:hint="eastAsia" w:ascii="宋体" w:hAnsi="宋体" w:cs="宋体"/>
              </w:rPr>
              <w:t>发现故障，及时处理</w:t>
            </w:r>
          </w:p>
        </w:tc>
        <w:tc>
          <w:tcPr>
            <w:tcW w:w="1425" w:type="dxa"/>
          </w:tcPr>
          <w:p>
            <w:pP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320" w:type="dxa"/>
            <w:vMerge w:val="continue"/>
          </w:tcPr>
          <w:p>
            <w:pPr>
              <w:rPr>
                <w:rFonts w:ascii="宋体" w:hAnsi="宋体" w:cs="宋体"/>
              </w:rPr>
            </w:pPr>
          </w:p>
        </w:tc>
        <w:tc>
          <w:tcPr>
            <w:tcW w:w="1680" w:type="dxa"/>
            <w:vAlign w:val="center"/>
          </w:tcPr>
          <w:p>
            <w:pPr>
              <w:jc w:val="center"/>
              <w:rPr>
                <w:rFonts w:ascii="宋体" w:hAnsi="宋体" w:cs="宋体"/>
                <w:bCs/>
              </w:rPr>
            </w:pPr>
            <w:r>
              <w:rPr>
                <w:rFonts w:hint="eastAsia" w:ascii="宋体" w:hAnsi="宋体" w:cs="宋体"/>
                <w:bCs/>
              </w:rPr>
              <w:t>胶珠、密封胶垫</w:t>
            </w:r>
          </w:p>
        </w:tc>
        <w:tc>
          <w:tcPr>
            <w:tcW w:w="3615" w:type="dxa"/>
            <w:vAlign w:val="center"/>
          </w:tcPr>
          <w:p>
            <w:pPr>
              <w:rPr>
                <w:rFonts w:ascii="宋体" w:hAnsi="宋体" w:cs="宋体"/>
                <w:bCs/>
              </w:rPr>
            </w:pPr>
            <w:r>
              <w:rPr>
                <w:rFonts w:hint="eastAsia" w:ascii="宋体" w:hAnsi="宋体" w:cs="宋体"/>
                <w:bCs/>
              </w:rPr>
              <w:t>观察有无破损、老化、渗油。</w:t>
            </w:r>
          </w:p>
        </w:tc>
        <w:tc>
          <w:tcPr>
            <w:tcW w:w="1740" w:type="dxa"/>
            <w:vAlign w:val="center"/>
          </w:tcPr>
          <w:p>
            <w:pPr>
              <w:jc w:val="center"/>
              <w:rPr>
                <w:rFonts w:ascii="宋体" w:hAnsi="宋体" w:cs="宋体"/>
                <w:bCs/>
              </w:rPr>
            </w:pPr>
            <w:r>
              <w:rPr>
                <w:rFonts w:hint="eastAsia" w:ascii="宋体" w:hAnsi="宋体" w:cs="宋体"/>
              </w:rPr>
              <w:t>发现故障，及时处理</w:t>
            </w:r>
          </w:p>
        </w:tc>
        <w:tc>
          <w:tcPr>
            <w:tcW w:w="1425" w:type="dxa"/>
          </w:tcPr>
          <w:p>
            <w:pP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320" w:type="dxa"/>
            <w:vMerge w:val="continue"/>
          </w:tcPr>
          <w:p>
            <w:pPr>
              <w:rPr>
                <w:rFonts w:ascii="宋体" w:hAnsi="宋体" w:cs="宋体"/>
              </w:rPr>
            </w:pPr>
          </w:p>
        </w:tc>
        <w:tc>
          <w:tcPr>
            <w:tcW w:w="1680" w:type="dxa"/>
            <w:vAlign w:val="center"/>
          </w:tcPr>
          <w:p>
            <w:pPr>
              <w:jc w:val="center"/>
              <w:rPr>
                <w:rFonts w:ascii="宋体" w:hAnsi="宋体" w:cs="宋体"/>
                <w:bCs/>
              </w:rPr>
            </w:pPr>
            <w:r>
              <w:rPr>
                <w:rFonts w:hint="eastAsia" w:ascii="宋体" w:hAnsi="宋体" w:cs="宋体"/>
                <w:bCs/>
              </w:rPr>
              <w:t>顶层油温</w:t>
            </w:r>
          </w:p>
        </w:tc>
        <w:tc>
          <w:tcPr>
            <w:tcW w:w="3615" w:type="dxa"/>
            <w:vAlign w:val="center"/>
          </w:tcPr>
          <w:p>
            <w:pPr>
              <w:rPr>
                <w:rFonts w:ascii="宋体" w:hAnsi="宋体" w:cs="宋体"/>
                <w:bCs/>
              </w:rPr>
            </w:pPr>
            <w:r>
              <w:rPr>
                <w:rFonts w:hint="eastAsia" w:ascii="宋体" w:hAnsi="宋体" w:cs="宋体"/>
                <w:bCs/>
              </w:rPr>
              <w:t>测温枪检测油面温度（顶层油温＜85℃）</w:t>
            </w:r>
          </w:p>
        </w:tc>
        <w:tc>
          <w:tcPr>
            <w:tcW w:w="1740" w:type="dxa"/>
            <w:vAlign w:val="center"/>
          </w:tcPr>
          <w:p>
            <w:pPr>
              <w:jc w:val="center"/>
              <w:rPr>
                <w:rFonts w:ascii="宋体" w:hAnsi="宋体" w:cs="宋体"/>
                <w:bCs/>
              </w:rPr>
            </w:pPr>
            <w:r>
              <w:rPr>
                <w:rFonts w:hint="eastAsia" w:ascii="宋体" w:hAnsi="宋体" w:cs="宋体"/>
              </w:rPr>
              <w:t>发现故障，及时处理</w:t>
            </w:r>
          </w:p>
        </w:tc>
        <w:tc>
          <w:tcPr>
            <w:tcW w:w="1425" w:type="dxa"/>
          </w:tcPr>
          <w:p>
            <w:pP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320" w:type="dxa"/>
            <w:vMerge w:val="continue"/>
          </w:tcPr>
          <w:p>
            <w:pPr>
              <w:rPr>
                <w:rFonts w:ascii="宋体" w:hAnsi="宋体" w:cs="宋体"/>
              </w:rPr>
            </w:pPr>
          </w:p>
        </w:tc>
        <w:tc>
          <w:tcPr>
            <w:tcW w:w="1680" w:type="dxa"/>
            <w:vAlign w:val="center"/>
          </w:tcPr>
          <w:p>
            <w:pPr>
              <w:jc w:val="center"/>
              <w:rPr>
                <w:rFonts w:ascii="宋体" w:hAnsi="宋体" w:cs="宋体"/>
                <w:bCs/>
              </w:rPr>
            </w:pPr>
            <w:r>
              <w:rPr>
                <w:rFonts w:hint="eastAsia" w:ascii="宋体" w:hAnsi="宋体" w:cs="宋体"/>
                <w:bCs/>
              </w:rPr>
              <w:t>油位</w:t>
            </w:r>
          </w:p>
        </w:tc>
        <w:tc>
          <w:tcPr>
            <w:tcW w:w="3615" w:type="dxa"/>
            <w:vAlign w:val="center"/>
          </w:tcPr>
          <w:p>
            <w:pPr>
              <w:rPr>
                <w:rFonts w:ascii="宋体" w:hAnsi="宋体" w:cs="宋体"/>
                <w:bCs/>
              </w:rPr>
            </w:pPr>
            <w:r>
              <w:rPr>
                <w:rFonts w:hint="eastAsia" w:ascii="宋体" w:hAnsi="宋体" w:cs="宋体"/>
                <w:bCs/>
              </w:rPr>
              <w:t>观察有无缺油现象</w:t>
            </w:r>
          </w:p>
        </w:tc>
        <w:tc>
          <w:tcPr>
            <w:tcW w:w="1740" w:type="dxa"/>
            <w:vAlign w:val="center"/>
          </w:tcPr>
          <w:p>
            <w:pPr>
              <w:jc w:val="center"/>
              <w:rPr>
                <w:rFonts w:ascii="宋体" w:hAnsi="宋体" w:cs="宋体"/>
                <w:bCs/>
              </w:rPr>
            </w:pPr>
            <w:r>
              <w:rPr>
                <w:rFonts w:hint="eastAsia" w:ascii="宋体" w:hAnsi="宋体" w:cs="宋体"/>
              </w:rPr>
              <w:t>发现故障，及时处理</w:t>
            </w:r>
          </w:p>
        </w:tc>
        <w:tc>
          <w:tcPr>
            <w:tcW w:w="1425" w:type="dxa"/>
          </w:tcPr>
          <w:p>
            <w:pP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320" w:type="dxa"/>
            <w:vMerge w:val="continue"/>
          </w:tcPr>
          <w:p>
            <w:pPr>
              <w:rPr>
                <w:rFonts w:ascii="宋体" w:hAnsi="宋体" w:cs="宋体"/>
              </w:rPr>
            </w:pPr>
          </w:p>
        </w:tc>
        <w:tc>
          <w:tcPr>
            <w:tcW w:w="1680" w:type="dxa"/>
            <w:vAlign w:val="center"/>
          </w:tcPr>
          <w:p>
            <w:pPr>
              <w:jc w:val="center"/>
              <w:rPr>
                <w:rFonts w:ascii="宋体" w:hAnsi="宋体" w:cs="宋体"/>
                <w:bCs/>
              </w:rPr>
            </w:pPr>
            <w:r>
              <w:rPr>
                <w:rFonts w:hint="eastAsia" w:ascii="宋体" w:hAnsi="宋体" w:cs="宋体"/>
                <w:bCs/>
              </w:rPr>
              <w:t>变压器运行声音</w:t>
            </w:r>
          </w:p>
        </w:tc>
        <w:tc>
          <w:tcPr>
            <w:tcW w:w="3615" w:type="dxa"/>
            <w:vAlign w:val="center"/>
          </w:tcPr>
          <w:p>
            <w:pPr>
              <w:rPr>
                <w:rFonts w:ascii="宋体" w:hAnsi="宋体" w:cs="宋体"/>
                <w:bCs/>
              </w:rPr>
            </w:pPr>
            <w:r>
              <w:rPr>
                <w:rFonts w:hint="eastAsia" w:ascii="宋体" w:hAnsi="宋体" w:cs="宋体"/>
                <w:bCs/>
              </w:rPr>
              <w:t>有无异响（应为连续的嗡嗡声）</w:t>
            </w:r>
          </w:p>
        </w:tc>
        <w:tc>
          <w:tcPr>
            <w:tcW w:w="1740" w:type="dxa"/>
            <w:vAlign w:val="center"/>
          </w:tcPr>
          <w:p>
            <w:pPr>
              <w:jc w:val="center"/>
              <w:rPr>
                <w:rFonts w:ascii="宋体" w:hAnsi="宋体" w:cs="宋体"/>
                <w:bCs/>
              </w:rPr>
            </w:pPr>
            <w:r>
              <w:rPr>
                <w:rFonts w:hint="eastAsia" w:ascii="宋体" w:hAnsi="宋体" w:cs="宋体"/>
              </w:rPr>
              <w:t>发现故障，及时处理</w:t>
            </w:r>
          </w:p>
        </w:tc>
        <w:tc>
          <w:tcPr>
            <w:tcW w:w="1425" w:type="dxa"/>
          </w:tcPr>
          <w:p>
            <w:pP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1320" w:type="dxa"/>
            <w:vMerge w:val="restart"/>
            <w:vAlign w:val="center"/>
          </w:tcPr>
          <w:p>
            <w:pPr>
              <w:jc w:val="center"/>
              <w:rPr>
                <w:rFonts w:ascii="宋体" w:hAnsi="宋体" w:cs="宋体"/>
                <w:bCs/>
              </w:rPr>
            </w:pPr>
            <w:r>
              <w:rPr>
                <w:rFonts w:hint="eastAsia" w:ascii="宋体" w:hAnsi="宋体" w:cs="宋体"/>
                <w:bCs/>
              </w:rPr>
              <w:t>户内高压设备</w:t>
            </w:r>
          </w:p>
        </w:tc>
        <w:tc>
          <w:tcPr>
            <w:tcW w:w="1680" w:type="dxa"/>
            <w:vAlign w:val="center"/>
          </w:tcPr>
          <w:p>
            <w:pPr>
              <w:jc w:val="center"/>
              <w:rPr>
                <w:rFonts w:ascii="宋体" w:hAnsi="宋体" w:cs="宋体"/>
                <w:bCs/>
              </w:rPr>
            </w:pPr>
            <w:r>
              <w:rPr>
                <w:rFonts w:hint="eastAsia" w:ascii="宋体" w:hAnsi="宋体" w:cs="宋体"/>
                <w:bCs/>
              </w:rPr>
              <w:t>高压进线柜</w:t>
            </w:r>
          </w:p>
        </w:tc>
        <w:tc>
          <w:tcPr>
            <w:tcW w:w="3615" w:type="dxa"/>
            <w:vAlign w:val="center"/>
          </w:tcPr>
          <w:p>
            <w:pPr>
              <w:rPr>
                <w:rFonts w:ascii="宋体" w:hAnsi="宋体" w:cs="宋体"/>
                <w:bCs/>
              </w:rPr>
            </w:pPr>
            <w:r>
              <w:rPr>
                <w:rFonts w:hint="eastAsia" w:ascii="宋体" w:hAnsi="宋体" w:cs="宋体"/>
                <w:bCs/>
              </w:rPr>
              <w:t>如盘柜设有观察窗，从观察窗观察进线开关合闸是否到位，高压进线电缆头、高压避雷器、绝缘子、套管、CT等柜内设备有无放电，柜内有无孔洞未堵，静听柜内有无异响。带电、分、合闸等指示灯是否正常。测温枪从观察窗检测柜内各接点温度是否过高。柜内有无积尘、蜘蛛网等。</w:t>
            </w:r>
          </w:p>
        </w:tc>
        <w:tc>
          <w:tcPr>
            <w:tcW w:w="1740" w:type="dxa"/>
            <w:vAlign w:val="center"/>
          </w:tcPr>
          <w:p>
            <w:pPr>
              <w:jc w:val="center"/>
              <w:rPr>
                <w:rFonts w:ascii="宋体" w:hAnsi="宋体" w:cs="宋体"/>
                <w:bCs/>
              </w:rPr>
            </w:pPr>
            <w:r>
              <w:rPr>
                <w:rFonts w:hint="eastAsia" w:ascii="宋体" w:hAnsi="宋体" w:cs="宋体"/>
              </w:rPr>
              <w:t>发现故障，及时处理</w:t>
            </w:r>
          </w:p>
        </w:tc>
        <w:tc>
          <w:tcPr>
            <w:tcW w:w="1425" w:type="dxa"/>
          </w:tcPr>
          <w:p>
            <w:pP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1320" w:type="dxa"/>
            <w:vMerge w:val="continue"/>
          </w:tcPr>
          <w:p>
            <w:pPr>
              <w:rPr>
                <w:rFonts w:ascii="宋体" w:hAnsi="宋体" w:cs="宋体"/>
              </w:rPr>
            </w:pPr>
          </w:p>
        </w:tc>
        <w:tc>
          <w:tcPr>
            <w:tcW w:w="1680" w:type="dxa"/>
            <w:vAlign w:val="center"/>
          </w:tcPr>
          <w:p>
            <w:pPr>
              <w:jc w:val="center"/>
              <w:rPr>
                <w:rFonts w:ascii="宋体" w:hAnsi="宋体" w:cs="宋体"/>
                <w:bCs/>
              </w:rPr>
            </w:pPr>
            <w:r>
              <w:rPr>
                <w:rFonts w:hint="eastAsia" w:ascii="宋体" w:hAnsi="宋体" w:cs="宋体"/>
                <w:bCs/>
              </w:rPr>
              <w:t>高压计量柜</w:t>
            </w:r>
          </w:p>
        </w:tc>
        <w:tc>
          <w:tcPr>
            <w:tcW w:w="3615" w:type="dxa"/>
          </w:tcPr>
          <w:p>
            <w:pPr>
              <w:rPr>
                <w:rFonts w:ascii="宋体" w:hAnsi="宋体" w:cs="宋体"/>
                <w:bCs/>
              </w:rPr>
            </w:pPr>
            <w:r>
              <w:rPr>
                <w:rFonts w:hint="eastAsia" w:ascii="宋体" w:hAnsi="宋体" w:cs="宋体"/>
                <w:bCs/>
              </w:rPr>
              <w:t>如盘柜设有观察窗，从观察窗观察绝缘子、套管、PT等柜内设备有无放电，柜内有无孔洞未堵，静听柜内有无异响。柜内有无积尘、蜘蛛网等。</w:t>
            </w:r>
          </w:p>
        </w:tc>
        <w:tc>
          <w:tcPr>
            <w:tcW w:w="1740" w:type="dxa"/>
            <w:vAlign w:val="center"/>
          </w:tcPr>
          <w:p>
            <w:pPr>
              <w:jc w:val="center"/>
              <w:rPr>
                <w:rFonts w:ascii="宋体" w:hAnsi="宋体" w:cs="宋体"/>
                <w:bCs/>
              </w:rPr>
            </w:pPr>
            <w:r>
              <w:rPr>
                <w:rFonts w:hint="eastAsia" w:ascii="宋体" w:hAnsi="宋体" w:cs="宋体"/>
              </w:rPr>
              <w:t>发现故障，及时处理</w:t>
            </w:r>
          </w:p>
        </w:tc>
        <w:tc>
          <w:tcPr>
            <w:tcW w:w="1425" w:type="dxa"/>
          </w:tcPr>
          <w:p>
            <w:pP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1320" w:type="dxa"/>
            <w:vMerge w:val="continue"/>
          </w:tcPr>
          <w:p>
            <w:pPr>
              <w:rPr>
                <w:rFonts w:ascii="宋体" w:hAnsi="宋体" w:cs="宋体"/>
              </w:rPr>
            </w:pPr>
          </w:p>
        </w:tc>
        <w:tc>
          <w:tcPr>
            <w:tcW w:w="1680" w:type="dxa"/>
            <w:vAlign w:val="center"/>
          </w:tcPr>
          <w:p>
            <w:pPr>
              <w:jc w:val="center"/>
              <w:rPr>
                <w:rFonts w:ascii="宋体" w:hAnsi="宋体" w:cs="宋体"/>
                <w:bCs/>
              </w:rPr>
            </w:pPr>
            <w:r>
              <w:rPr>
                <w:rFonts w:hint="eastAsia" w:ascii="宋体" w:hAnsi="宋体" w:cs="宋体"/>
                <w:bCs/>
              </w:rPr>
              <w:t>高压母联柜</w:t>
            </w:r>
          </w:p>
        </w:tc>
        <w:tc>
          <w:tcPr>
            <w:tcW w:w="3615" w:type="dxa"/>
          </w:tcPr>
          <w:p>
            <w:pPr>
              <w:rPr>
                <w:rFonts w:ascii="宋体" w:hAnsi="宋体" w:cs="宋体"/>
                <w:bCs/>
              </w:rPr>
            </w:pPr>
            <w:r>
              <w:rPr>
                <w:rFonts w:hint="eastAsia" w:ascii="宋体" w:hAnsi="宋体" w:cs="宋体"/>
                <w:bCs/>
              </w:rPr>
              <w:t>如盘柜设有观察窗，从观察窗观察母联开关合闸是否到位，绝缘子、套管、等柜内设备有无放电，柜内有无孔洞未堵，静听柜内有无异响。测温枪从观察窗检测柜内各接点温度是否过高。柜内有无积尘、蜘蛛网等。</w:t>
            </w:r>
          </w:p>
        </w:tc>
        <w:tc>
          <w:tcPr>
            <w:tcW w:w="1740" w:type="dxa"/>
            <w:vAlign w:val="center"/>
          </w:tcPr>
          <w:p>
            <w:pPr>
              <w:jc w:val="center"/>
              <w:rPr>
                <w:rFonts w:ascii="宋体" w:hAnsi="宋体" w:cs="宋体"/>
                <w:bCs/>
              </w:rPr>
            </w:pPr>
            <w:r>
              <w:rPr>
                <w:rFonts w:hint="eastAsia" w:ascii="宋体" w:hAnsi="宋体" w:cs="宋体"/>
              </w:rPr>
              <w:t>发现故障，及时处理</w:t>
            </w:r>
          </w:p>
        </w:tc>
        <w:tc>
          <w:tcPr>
            <w:tcW w:w="1425" w:type="dxa"/>
          </w:tcPr>
          <w:p>
            <w:pP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Merge w:val="continue"/>
          </w:tcPr>
          <w:p>
            <w:pPr>
              <w:rPr>
                <w:rFonts w:ascii="宋体" w:hAnsi="宋体" w:cs="宋体"/>
              </w:rPr>
            </w:pPr>
          </w:p>
        </w:tc>
        <w:tc>
          <w:tcPr>
            <w:tcW w:w="1680" w:type="dxa"/>
            <w:vAlign w:val="center"/>
          </w:tcPr>
          <w:p>
            <w:pPr>
              <w:jc w:val="center"/>
              <w:rPr>
                <w:rFonts w:ascii="宋体" w:hAnsi="宋体" w:cs="宋体"/>
                <w:bCs/>
              </w:rPr>
            </w:pPr>
            <w:r>
              <w:rPr>
                <w:rFonts w:hint="eastAsia" w:ascii="宋体" w:hAnsi="宋体" w:cs="宋体"/>
                <w:bCs/>
              </w:rPr>
              <w:t>高压出线柜</w:t>
            </w:r>
          </w:p>
        </w:tc>
        <w:tc>
          <w:tcPr>
            <w:tcW w:w="3615" w:type="dxa"/>
          </w:tcPr>
          <w:p>
            <w:pPr>
              <w:rPr>
                <w:rFonts w:ascii="宋体" w:hAnsi="宋体" w:cs="宋体"/>
                <w:bCs/>
              </w:rPr>
            </w:pPr>
            <w:r>
              <w:rPr>
                <w:rFonts w:hint="eastAsia" w:ascii="宋体" w:hAnsi="宋体" w:cs="宋体"/>
                <w:bCs/>
              </w:rPr>
              <w:t>如盘柜设有观察窗，从观察窗观察出线开关合闸是否到位，高压出线电缆头、高压避雷器绝缘子、套管、等柜内设备有无放电，有无孔洞未堵，静听柜内有无异响。带电、分、合闸等指示灯是否正常。测温枪从观察窗检测柜内各接点温度是否过高。柜内有无积尘、蜘蛛网等。钳形电流表检测电流是否超负荷。</w:t>
            </w:r>
          </w:p>
        </w:tc>
        <w:tc>
          <w:tcPr>
            <w:tcW w:w="1740" w:type="dxa"/>
            <w:vAlign w:val="center"/>
          </w:tcPr>
          <w:p>
            <w:pPr>
              <w:jc w:val="center"/>
              <w:rPr>
                <w:rFonts w:ascii="宋体" w:hAnsi="宋体" w:cs="宋体"/>
                <w:bCs/>
              </w:rPr>
            </w:pPr>
            <w:r>
              <w:rPr>
                <w:rFonts w:hint="eastAsia" w:ascii="宋体" w:hAnsi="宋体" w:cs="宋体"/>
              </w:rPr>
              <w:t>发现故障，及时处理</w:t>
            </w:r>
          </w:p>
        </w:tc>
        <w:tc>
          <w:tcPr>
            <w:tcW w:w="1425" w:type="dxa"/>
          </w:tcPr>
          <w:p>
            <w:pP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1320" w:type="dxa"/>
            <w:vMerge w:val="restart"/>
            <w:vAlign w:val="center"/>
          </w:tcPr>
          <w:p>
            <w:pPr>
              <w:jc w:val="center"/>
              <w:rPr>
                <w:rFonts w:ascii="宋体" w:hAnsi="宋体" w:cs="宋体"/>
                <w:bCs/>
              </w:rPr>
            </w:pPr>
            <w:r>
              <w:rPr>
                <w:rFonts w:hint="eastAsia" w:ascii="宋体" w:hAnsi="宋体" w:cs="宋体"/>
                <w:bCs/>
              </w:rPr>
              <w:t>户内低压设备</w:t>
            </w:r>
          </w:p>
        </w:tc>
        <w:tc>
          <w:tcPr>
            <w:tcW w:w="1680" w:type="dxa"/>
            <w:vAlign w:val="center"/>
          </w:tcPr>
          <w:p>
            <w:pPr>
              <w:jc w:val="center"/>
              <w:rPr>
                <w:rFonts w:ascii="宋体" w:hAnsi="宋体" w:cs="宋体"/>
                <w:bCs/>
              </w:rPr>
            </w:pPr>
            <w:r>
              <w:rPr>
                <w:rFonts w:hint="eastAsia" w:ascii="宋体" w:hAnsi="宋体" w:cs="宋体"/>
                <w:bCs/>
              </w:rPr>
              <w:t>低压进线柜</w:t>
            </w:r>
          </w:p>
        </w:tc>
        <w:tc>
          <w:tcPr>
            <w:tcW w:w="3615" w:type="dxa"/>
          </w:tcPr>
          <w:p>
            <w:pPr>
              <w:rPr>
                <w:rFonts w:ascii="宋体" w:hAnsi="宋体" w:cs="宋体"/>
                <w:bCs/>
              </w:rPr>
            </w:pPr>
            <w:r>
              <w:rPr>
                <w:rFonts w:hint="eastAsia" w:ascii="宋体" w:hAnsi="宋体" w:cs="宋体"/>
                <w:bCs/>
              </w:rPr>
              <w:t>进线刀开关接触是否良好，分、合闸等指示灯是否正常。低压断路器运行是否有异响。一、二次线是否有发热、烧焦现象。测温枪检测各接点温度是否过高。有无积尘、蜘蛛网等。有无孔洞未堵。柜门、锁有无损，柜门开、闭是否正常。</w:t>
            </w:r>
          </w:p>
        </w:tc>
        <w:tc>
          <w:tcPr>
            <w:tcW w:w="1740" w:type="dxa"/>
            <w:vAlign w:val="center"/>
          </w:tcPr>
          <w:p>
            <w:pPr>
              <w:jc w:val="center"/>
              <w:rPr>
                <w:rFonts w:ascii="宋体" w:hAnsi="宋体" w:cs="宋体"/>
                <w:bCs/>
              </w:rPr>
            </w:pPr>
            <w:r>
              <w:rPr>
                <w:rFonts w:hint="eastAsia" w:ascii="宋体" w:hAnsi="宋体" w:cs="宋体"/>
              </w:rPr>
              <w:t>发现故障，及时处理</w:t>
            </w:r>
          </w:p>
        </w:tc>
        <w:tc>
          <w:tcPr>
            <w:tcW w:w="1425" w:type="dxa"/>
          </w:tcPr>
          <w:p>
            <w:pP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1320" w:type="dxa"/>
            <w:vMerge w:val="continue"/>
          </w:tcPr>
          <w:p>
            <w:pPr>
              <w:rPr>
                <w:rFonts w:ascii="宋体" w:hAnsi="宋体" w:cs="宋体"/>
              </w:rPr>
            </w:pPr>
          </w:p>
        </w:tc>
        <w:tc>
          <w:tcPr>
            <w:tcW w:w="1680" w:type="dxa"/>
            <w:vAlign w:val="center"/>
          </w:tcPr>
          <w:p>
            <w:pPr>
              <w:jc w:val="center"/>
              <w:rPr>
                <w:rFonts w:ascii="宋体" w:hAnsi="宋体" w:cs="宋体"/>
                <w:bCs/>
              </w:rPr>
            </w:pPr>
            <w:r>
              <w:rPr>
                <w:rFonts w:hint="eastAsia" w:ascii="宋体" w:hAnsi="宋体" w:cs="宋体"/>
                <w:bCs/>
              </w:rPr>
              <w:t>低压计量柜</w:t>
            </w:r>
          </w:p>
        </w:tc>
        <w:tc>
          <w:tcPr>
            <w:tcW w:w="3615" w:type="dxa"/>
          </w:tcPr>
          <w:p>
            <w:pPr>
              <w:rPr>
                <w:rFonts w:ascii="宋体" w:hAnsi="宋体" w:cs="宋体"/>
                <w:bCs/>
              </w:rPr>
            </w:pPr>
            <w:r>
              <w:rPr>
                <w:rFonts w:hint="eastAsia" w:ascii="宋体" w:hAnsi="宋体" w:cs="宋体"/>
                <w:bCs/>
              </w:rPr>
              <w:t>电度表铅封是否完好，一、二次线是否有发热、烧焦现象，有无积尘、蜘蛛网等。有无孔洞未堵。</w:t>
            </w:r>
          </w:p>
        </w:tc>
        <w:tc>
          <w:tcPr>
            <w:tcW w:w="1740" w:type="dxa"/>
            <w:vAlign w:val="center"/>
          </w:tcPr>
          <w:p>
            <w:pPr>
              <w:jc w:val="center"/>
              <w:rPr>
                <w:rFonts w:ascii="宋体" w:hAnsi="宋体" w:cs="宋体"/>
                <w:bCs/>
              </w:rPr>
            </w:pPr>
            <w:r>
              <w:rPr>
                <w:rFonts w:hint="eastAsia" w:ascii="宋体" w:hAnsi="宋体" w:cs="宋体"/>
              </w:rPr>
              <w:t>发现故障，及时处理</w:t>
            </w:r>
          </w:p>
        </w:tc>
        <w:tc>
          <w:tcPr>
            <w:tcW w:w="1425" w:type="dxa"/>
          </w:tcPr>
          <w:p>
            <w:pP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1320" w:type="dxa"/>
            <w:vMerge w:val="continue"/>
          </w:tcPr>
          <w:p>
            <w:pPr>
              <w:rPr>
                <w:rFonts w:ascii="宋体" w:hAnsi="宋体" w:cs="宋体"/>
              </w:rPr>
            </w:pPr>
          </w:p>
        </w:tc>
        <w:tc>
          <w:tcPr>
            <w:tcW w:w="1680" w:type="dxa"/>
            <w:vAlign w:val="center"/>
          </w:tcPr>
          <w:p>
            <w:pPr>
              <w:jc w:val="center"/>
              <w:rPr>
                <w:rFonts w:ascii="宋体" w:hAnsi="宋体" w:cs="宋体"/>
                <w:bCs/>
              </w:rPr>
            </w:pPr>
            <w:r>
              <w:rPr>
                <w:rFonts w:hint="eastAsia" w:ascii="宋体" w:hAnsi="宋体" w:cs="宋体"/>
                <w:bCs/>
              </w:rPr>
              <w:t>低压母联柜</w:t>
            </w:r>
          </w:p>
        </w:tc>
        <w:tc>
          <w:tcPr>
            <w:tcW w:w="3615" w:type="dxa"/>
          </w:tcPr>
          <w:p>
            <w:pPr>
              <w:rPr>
                <w:rFonts w:ascii="宋体" w:hAnsi="宋体" w:cs="宋体"/>
                <w:bCs/>
              </w:rPr>
            </w:pPr>
            <w:r>
              <w:rPr>
                <w:rFonts w:hint="eastAsia" w:ascii="宋体" w:hAnsi="宋体" w:cs="宋体"/>
                <w:bCs/>
              </w:rPr>
              <w:t>母联开关接触是否良好，分、合闸等指示灯是否正常。一、二次线是否有发热、烧焦现象。测温枪检测各接点温度是否过高。有无积尘、蜘蛛网等。有无孔洞未堵。柜门、锁有无损，柜门开、闭是否正常。</w:t>
            </w:r>
          </w:p>
        </w:tc>
        <w:tc>
          <w:tcPr>
            <w:tcW w:w="1740" w:type="dxa"/>
            <w:vAlign w:val="center"/>
          </w:tcPr>
          <w:p>
            <w:pPr>
              <w:jc w:val="center"/>
              <w:rPr>
                <w:rFonts w:ascii="宋体" w:hAnsi="宋体" w:cs="宋体"/>
                <w:bCs/>
              </w:rPr>
            </w:pPr>
            <w:r>
              <w:rPr>
                <w:rFonts w:hint="eastAsia" w:ascii="宋体" w:hAnsi="宋体" w:cs="宋体"/>
              </w:rPr>
              <w:t>发现故障，及时处理</w:t>
            </w:r>
          </w:p>
        </w:tc>
        <w:tc>
          <w:tcPr>
            <w:tcW w:w="1425" w:type="dxa"/>
          </w:tcPr>
          <w:p>
            <w:pP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Merge w:val="continue"/>
          </w:tcPr>
          <w:p>
            <w:pPr>
              <w:rPr>
                <w:rFonts w:ascii="宋体" w:hAnsi="宋体" w:cs="宋体"/>
              </w:rPr>
            </w:pPr>
          </w:p>
        </w:tc>
        <w:tc>
          <w:tcPr>
            <w:tcW w:w="1680" w:type="dxa"/>
            <w:vAlign w:val="center"/>
          </w:tcPr>
          <w:p>
            <w:pPr>
              <w:jc w:val="center"/>
              <w:rPr>
                <w:rFonts w:ascii="宋体" w:hAnsi="宋体" w:cs="宋体"/>
                <w:bCs/>
              </w:rPr>
            </w:pPr>
            <w:r>
              <w:rPr>
                <w:rFonts w:hint="eastAsia" w:ascii="宋体" w:hAnsi="宋体" w:cs="宋体"/>
                <w:bCs/>
              </w:rPr>
              <w:t>低压出线柜</w:t>
            </w:r>
          </w:p>
        </w:tc>
        <w:tc>
          <w:tcPr>
            <w:tcW w:w="3615" w:type="dxa"/>
          </w:tcPr>
          <w:p>
            <w:pPr>
              <w:rPr>
                <w:rFonts w:ascii="宋体" w:hAnsi="宋体" w:cs="宋体"/>
                <w:bCs/>
              </w:rPr>
            </w:pPr>
            <w:r>
              <w:rPr>
                <w:rFonts w:hint="eastAsia" w:ascii="宋体" w:hAnsi="宋体" w:cs="宋体"/>
                <w:bCs/>
              </w:rPr>
              <w:t>出线刀开关接触是否良好，分、合闸等指示灯是否正常。出线低压断路器、空气开关运行是否有异响。一、二次线是否有发热、烧焦现象。测温枪检测各接点温度是</w:t>
            </w:r>
          </w:p>
          <w:p>
            <w:pPr>
              <w:rPr>
                <w:rFonts w:ascii="宋体" w:hAnsi="宋体" w:cs="宋体"/>
                <w:bCs/>
              </w:rPr>
            </w:pPr>
            <w:r>
              <w:rPr>
                <w:rFonts w:hint="eastAsia" w:ascii="宋体" w:hAnsi="宋体" w:cs="宋体"/>
                <w:bCs/>
              </w:rPr>
              <w:t>否过高。有无积尘、蜘蛛网等。有无孔洞未堵。柜门、锁有无损，柜门开、闭是否正常。钳形电流表检测电流是否超负荷，电压是否正常。</w:t>
            </w:r>
          </w:p>
        </w:tc>
        <w:tc>
          <w:tcPr>
            <w:tcW w:w="1740" w:type="dxa"/>
            <w:vAlign w:val="center"/>
          </w:tcPr>
          <w:p>
            <w:pPr>
              <w:jc w:val="center"/>
              <w:rPr>
                <w:rFonts w:ascii="宋体" w:hAnsi="宋体" w:cs="宋体"/>
                <w:bCs/>
              </w:rPr>
            </w:pPr>
            <w:r>
              <w:rPr>
                <w:rFonts w:hint="eastAsia" w:ascii="宋体" w:hAnsi="宋体" w:cs="宋体"/>
              </w:rPr>
              <w:t>发现故障，及时处理</w:t>
            </w:r>
          </w:p>
        </w:tc>
        <w:tc>
          <w:tcPr>
            <w:tcW w:w="1425" w:type="dxa"/>
          </w:tcPr>
          <w:p>
            <w:pP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Merge w:val="continue"/>
          </w:tcPr>
          <w:p>
            <w:pPr>
              <w:rPr>
                <w:rFonts w:ascii="宋体" w:hAnsi="宋体" w:cs="宋体"/>
              </w:rPr>
            </w:pPr>
          </w:p>
        </w:tc>
        <w:tc>
          <w:tcPr>
            <w:tcW w:w="1680" w:type="dxa"/>
            <w:vAlign w:val="center"/>
          </w:tcPr>
          <w:p>
            <w:pPr>
              <w:jc w:val="center"/>
              <w:rPr>
                <w:rFonts w:ascii="宋体" w:hAnsi="宋体" w:cs="宋体"/>
                <w:bCs/>
              </w:rPr>
            </w:pPr>
            <w:r>
              <w:rPr>
                <w:rFonts w:hint="eastAsia" w:ascii="宋体" w:hAnsi="宋体" w:cs="宋体"/>
                <w:bCs/>
              </w:rPr>
              <w:t>电容柜</w:t>
            </w:r>
          </w:p>
        </w:tc>
        <w:tc>
          <w:tcPr>
            <w:tcW w:w="3615" w:type="dxa"/>
          </w:tcPr>
          <w:p>
            <w:pPr>
              <w:rPr>
                <w:rFonts w:ascii="宋体" w:hAnsi="宋体" w:cs="宋体"/>
                <w:bCs/>
              </w:rPr>
            </w:pPr>
            <w:r>
              <w:rPr>
                <w:rFonts w:hint="eastAsia" w:ascii="宋体" w:hAnsi="宋体" w:cs="宋体"/>
                <w:bCs/>
              </w:rPr>
              <w:t>是否投入无功补偿，是否满足无功补偿。刀开关接触是否良好，接触器有无故障。电容外观检查有无变形。一、二次线是否有发热、烧焦现象。</w:t>
            </w:r>
          </w:p>
        </w:tc>
        <w:tc>
          <w:tcPr>
            <w:tcW w:w="1740" w:type="dxa"/>
            <w:vAlign w:val="center"/>
          </w:tcPr>
          <w:p>
            <w:pPr>
              <w:jc w:val="center"/>
              <w:rPr>
                <w:rFonts w:ascii="宋体" w:hAnsi="宋体" w:cs="宋体"/>
                <w:bCs/>
              </w:rPr>
            </w:pPr>
            <w:r>
              <w:rPr>
                <w:rFonts w:hint="eastAsia" w:ascii="宋体" w:hAnsi="宋体" w:cs="宋体"/>
              </w:rPr>
              <w:t>发现故障，及时处理</w:t>
            </w:r>
          </w:p>
        </w:tc>
        <w:tc>
          <w:tcPr>
            <w:tcW w:w="1425" w:type="dxa"/>
          </w:tcPr>
          <w:p>
            <w:pP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Merge w:val="continue"/>
          </w:tcPr>
          <w:p>
            <w:pPr>
              <w:rPr>
                <w:rFonts w:ascii="宋体" w:hAnsi="宋体" w:cs="宋体"/>
              </w:rPr>
            </w:pPr>
          </w:p>
        </w:tc>
        <w:tc>
          <w:tcPr>
            <w:tcW w:w="1680" w:type="dxa"/>
            <w:vAlign w:val="center"/>
          </w:tcPr>
          <w:p>
            <w:pPr>
              <w:jc w:val="center"/>
              <w:rPr>
                <w:rFonts w:ascii="宋体" w:hAnsi="宋体" w:cs="宋体"/>
                <w:bCs/>
              </w:rPr>
            </w:pPr>
            <w:r>
              <w:rPr>
                <w:rFonts w:hint="eastAsia" w:ascii="宋体" w:hAnsi="宋体" w:cs="宋体"/>
                <w:bCs/>
              </w:rPr>
              <w:t>低压配电箱</w:t>
            </w:r>
          </w:p>
        </w:tc>
        <w:tc>
          <w:tcPr>
            <w:tcW w:w="3615" w:type="dxa"/>
          </w:tcPr>
          <w:p>
            <w:pPr>
              <w:rPr>
                <w:rFonts w:ascii="宋体" w:hAnsi="宋体" w:cs="宋体"/>
                <w:bCs/>
              </w:rPr>
            </w:pPr>
            <w:r>
              <w:rPr>
                <w:rFonts w:hint="eastAsia" w:ascii="宋体" w:hAnsi="宋体" w:cs="宋体"/>
                <w:bCs/>
              </w:rPr>
              <w:t>总进线开关运行是否有异响，一、二次线是否有发热、烧焦现象。电度表铅封是否完好。测温枪检测各接点温度是否过高。有无积尘、蜘蛛网等。有无孔洞未堵。柜门、锁有无损，柜门开、闭是否正常。</w:t>
            </w:r>
          </w:p>
        </w:tc>
        <w:tc>
          <w:tcPr>
            <w:tcW w:w="1740" w:type="dxa"/>
            <w:vAlign w:val="center"/>
          </w:tcPr>
          <w:p>
            <w:pPr>
              <w:jc w:val="center"/>
              <w:rPr>
                <w:rFonts w:ascii="宋体" w:hAnsi="宋体" w:cs="宋体"/>
                <w:bCs/>
              </w:rPr>
            </w:pPr>
            <w:r>
              <w:rPr>
                <w:rFonts w:hint="eastAsia" w:ascii="宋体" w:hAnsi="宋体" w:cs="宋体"/>
              </w:rPr>
              <w:t>发现故障，及时处理</w:t>
            </w:r>
          </w:p>
        </w:tc>
        <w:tc>
          <w:tcPr>
            <w:tcW w:w="1425" w:type="dxa"/>
          </w:tcPr>
          <w:p>
            <w:pP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320" w:type="dxa"/>
            <w:vAlign w:val="center"/>
          </w:tcPr>
          <w:p>
            <w:pPr>
              <w:jc w:val="center"/>
              <w:rPr>
                <w:rFonts w:ascii="宋体" w:hAnsi="宋体" w:cs="宋体"/>
                <w:b/>
                <w:bCs/>
              </w:rPr>
            </w:pPr>
            <w:r>
              <w:rPr>
                <w:rFonts w:hint="eastAsia" w:ascii="宋体" w:hAnsi="宋体" w:cs="宋体"/>
                <w:b/>
                <w:bCs/>
              </w:rPr>
              <w:t>停电定检部分</w:t>
            </w:r>
          </w:p>
        </w:tc>
        <w:tc>
          <w:tcPr>
            <w:tcW w:w="1680" w:type="dxa"/>
            <w:vAlign w:val="center"/>
          </w:tcPr>
          <w:p>
            <w:pPr>
              <w:jc w:val="center"/>
              <w:rPr>
                <w:rFonts w:ascii="宋体" w:hAnsi="宋体" w:cs="宋体"/>
                <w:b/>
                <w:bCs/>
              </w:rPr>
            </w:pPr>
            <w:r>
              <w:rPr>
                <w:rFonts w:hint="eastAsia" w:ascii="宋体" w:hAnsi="宋体" w:cs="宋体"/>
                <w:b/>
                <w:bCs/>
              </w:rPr>
              <w:t>主要检查（部位）</w:t>
            </w:r>
          </w:p>
        </w:tc>
        <w:tc>
          <w:tcPr>
            <w:tcW w:w="3615" w:type="dxa"/>
            <w:vAlign w:val="center"/>
          </w:tcPr>
          <w:p>
            <w:pPr>
              <w:jc w:val="center"/>
              <w:rPr>
                <w:rFonts w:ascii="宋体" w:hAnsi="宋体" w:cs="宋体"/>
                <w:b/>
                <w:bCs/>
              </w:rPr>
            </w:pPr>
            <w:r>
              <w:rPr>
                <w:rFonts w:hint="eastAsia" w:ascii="宋体" w:hAnsi="宋体" w:cs="宋体"/>
                <w:b/>
                <w:bCs/>
              </w:rPr>
              <w:t>主要检查内容</w:t>
            </w:r>
          </w:p>
        </w:tc>
        <w:tc>
          <w:tcPr>
            <w:tcW w:w="1740" w:type="dxa"/>
            <w:vAlign w:val="center"/>
          </w:tcPr>
          <w:p>
            <w:pPr>
              <w:jc w:val="center"/>
              <w:rPr>
                <w:rFonts w:ascii="宋体" w:hAnsi="宋体" w:cs="宋体"/>
                <w:b/>
                <w:bCs/>
              </w:rPr>
            </w:pPr>
          </w:p>
        </w:tc>
        <w:tc>
          <w:tcPr>
            <w:tcW w:w="1425" w:type="dxa"/>
            <w:vAlign w:val="center"/>
          </w:tcPr>
          <w:p>
            <w:pPr>
              <w:jc w:val="center"/>
              <w:rPr>
                <w:rFonts w:ascii="宋体" w:hAnsi="宋体" w:cs="宋体"/>
                <w:b/>
                <w:bCs/>
              </w:rPr>
            </w:pPr>
            <w:r>
              <w:rPr>
                <w:rFonts w:hint="eastAsia" w:ascii="宋体" w:hAnsi="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Merge w:val="restart"/>
            <w:vAlign w:val="center"/>
          </w:tcPr>
          <w:p>
            <w:pPr>
              <w:jc w:val="center"/>
              <w:rPr>
                <w:rFonts w:ascii="宋体" w:hAnsi="宋体" w:cs="宋体"/>
                <w:bCs/>
              </w:rPr>
            </w:pPr>
            <w:r>
              <w:rPr>
                <w:rFonts w:hint="eastAsia" w:ascii="宋体" w:hAnsi="宋体" w:cs="宋体"/>
                <w:bCs/>
              </w:rPr>
              <w:t>干式变压器</w:t>
            </w:r>
          </w:p>
        </w:tc>
        <w:tc>
          <w:tcPr>
            <w:tcW w:w="1680" w:type="dxa"/>
            <w:vAlign w:val="center"/>
          </w:tcPr>
          <w:p>
            <w:pPr>
              <w:jc w:val="center"/>
              <w:rPr>
                <w:rFonts w:ascii="宋体" w:hAnsi="宋体" w:cs="宋体"/>
                <w:bCs/>
              </w:rPr>
            </w:pPr>
            <w:r>
              <w:rPr>
                <w:rFonts w:hint="eastAsia" w:ascii="宋体" w:hAnsi="宋体" w:cs="宋体"/>
                <w:bCs/>
              </w:rPr>
              <w:t>外观检查</w:t>
            </w:r>
          </w:p>
        </w:tc>
        <w:tc>
          <w:tcPr>
            <w:tcW w:w="3615" w:type="dxa"/>
          </w:tcPr>
          <w:p>
            <w:pPr>
              <w:rPr>
                <w:rFonts w:ascii="宋体" w:hAnsi="宋体" w:cs="宋体"/>
                <w:bCs/>
              </w:rPr>
            </w:pPr>
            <w:r>
              <w:rPr>
                <w:rFonts w:hint="eastAsia" w:ascii="宋体" w:hAnsi="宋体" w:cs="宋体"/>
                <w:bCs/>
              </w:rPr>
              <w:t>除尘、绕组绝缘有无破裂、免费护理一次支柱绝缘子</w:t>
            </w:r>
          </w:p>
        </w:tc>
        <w:tc>
          <w:tcPr>
            <w:tcW w:w="1740" w:type="dxa"/>
            <w:vAlign w:val="center"/>
          </w:tcPr>
          <w:p>
            <w:pPr>
              <w:jc w:val="center"/>
              <w:rPr>
                <w:rFonts w:ascii="宋体" w:hAnsi="宋体" w:cs="宋体"/>
                <w:bCs/>
              </w:rPr>
            </w:pPr>
            <w:r>
              <w:rPr>
                <w:rFonts w:hint="eastAsia" w:ascii="宋体" w:hAnsi="宋体" w:cs="宋体"/>
              </w:rPr>
              <w:t>发现故障，及时处理</w:t>
            </w:r>
          </w:p>
        </w:tc>
        <w:tc>
          <w:tcPr>
            <w:tcW w:w="1425" w:type="dxa"/>
          </w:tcPr>
          <w:p>
            <w:pP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Merge w:val="continue"/>
          </w:tcPr>
          <w:p>
            <w:pPr>
              <w:rPr>
                <w:rFonts w:ascii="宋体" w:hAnsi="宋体" w:cs="宋体"/>
              </w:rPr>
            </w:pPr>
          </w:p>
        </w:tc>
        <w:tc>
          <w:tcPr>
            <w:tcW w:w="1680" w:type="dxa"/>
            <w:vAlign w:val="center"/>
          </w:tcPr>
          <w:p>
            <w:pPr>
              <w:jc w:val="center"/>
              <w:rPr>
                <w:rFonts w:ascii="宋体" w:hAnsi="宋体" w:cs="宋体"/>
                <w:bCs/>
              </w:rPr>
            </w:pPr>
            <w:r>
              <w:rPr>
                <w:rFonts w:hint="eastAsia" w:ascii="宋体" w:hAnsi="宋体" w:cs="宋体"/>
                <w:bCs/>
              </w:rPr>
              <w:t>高、低压接线柱</w:t>
            </w:r>
          </w:p>
        </w:tc>
        <w:tc>
          <w:tcPr>
            <w:tcW w:w="3615" w:type="dxa"/>
          </w:tcPr>
          <w:p>
            <w:pPr>
              <w:rPr>
                <w:rFonts w:ascii="宋体" w:hAnsi="宋体" w:cs="宋体"/>
                <w:bCs/>
              </w:rPr>
            </w:pPr>
            <w:r>
              <w:rPr>
                <w:rFonts w:hint="eastAsia" w:ascii="宋体" w:hAnsi="宋体" w:cs="宋体"/>
                <w:bCs/>
              </w:rPr>
              <w:t>高、低压接线、导杆本体有无松动、进行紧固</w:t>
            </w:r>
          </w:p>
        </w:tc>
        <w:tc>
          <w:tcPr>
            <w:tcW w:w="1740" w:type="dxa"/>
            <w:vAlign w:val="center"/>
          </w:tcPr>
          <w:p>
            <w:pPr>
              <w:jc w:val="center"/>
              <w:rPr>
                <w:rFonts w:ascii="宋体" w:hAnsi="宋体" w:cs="宋体"/>
                <w:bCs/>
              </w:rPr>
            </w:pPr>
            <w:r>
              <w:rPr>
                <w:rFonts w:hint="eastAsia" w:ascii="宋体" w:hAnsi="宋体" w:cs="宋体"/>
              </w:rPr>
              <w:t>发现故障，及时处理</w:t>
            </w:r>
          </w:p>
        </w:tc>
        <w:tc>
          <w:tcPr>
            <w:tcW w:w="1425" w:type="dxa"/>
          </w:tcPr>
          <w:p>
            <w:pP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0" w:type="dxa"/>
            <w:vMerge w:val="continue"/>
          </w:tcPr>
          <w:p>
            <w:pPr>
              <w:rPr>
                <w:rFonts w:ascii="宋体" w:hAnsi="宋体" w:cs="宋体"/>
              </w:rPr>
            </w:pPr>
          </w:p>
        </w:tc>
        <w:tc>
          <w:tcPr>
            <w:tcW w:w="1680" w:type="dxa"/>
            <w:vAlign w:val="center"/>
          </w:tcPr>
          <w:p>
            <w:pPr>
              <w:jc w:val="center"/>
              <w:rPr>
                <w:rFonts w:ascii="宋体" w:hAnsi="宋体" w:cs="宋体"/>
                <w:bCs/>
              </w:rPr>
            </w:pPr>
            <w:r>
              <w:rPr>
                <w:rFonts w:hint="eastAsia" w:ascii="宋体" w:hAnsi="宋体" w:cs="宋体"/>
                <w:bCs/>
              </w:rPr>
              <w:t>高压组别联接杆</w:t>
            </w:r>
          </w:p>
        </w:tc>
        <w:tc>
          <w:tcPr>
            <w:tcW w:w="3615" w:type="dxa"/>
          </w:tcPr>
          <w:p>
            <w:pPr>
              <w:rPr>
                <w:rFonts w:ascii="宋体" w:hAnsi="宋体" w:cs="宋体"/>
                <w:bCs/>
              </w:rPr>
            </w:pPr>
            <w:r>
              <w:rPr>
                <w:rFonts w:hint="eastAsia" w:ascii="宋体" w:hAnsi="宋体" w:cs="宋体"/>
                <w:bCs/>
              </w:rPr>
              <w:t>高压组别联接杆有无松动、进行紧固</w:t>
            </w:r>
          </w:p>
        </w:tc>
        <w:tc>
          <w:tcPr>
            <w:tcW w:w="1740" w:type="dxa"/>
            <w:vAlign w:val="center"/>
          </w:tcPr>
          <w:p>
            <w:pPr>
              <w:jc w:val="center"/>
              <w:rPr>
                <w:rFonts w:ascii="宋体" w:hAnsi="宋体" w:cs="宋体"/>
                <w:bCs/>
              </w:rPr>
            </w:pPr>
            <w:r>
              <w:rPr>
                <w:rFonts w:hint="eastAsia" w:ascii="宋体" w:hAnsi="宋体" w:cs="宋体"/>
              </w:rPr>
              <w:t>发现故障，及时处理</w:t>
            </w:r>
          </w:p>
        </w:tc>
        <w:tc>
          <w:tcPr>
            <w:tcW w:w="1425" w:type="dxa"/>
          </w:tcPr>
          <w:p>
            <w:pP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Merge w:val="continue"/>
          </w:tcPr>
          <w:p>
            <w:pPr>
              <w:rPr>
                <w:rFonts w:ascii="宋体" w:hAnsi="宋体" w:cs="宋体"/>
              </w:rPr>
            </w:pPr>
          </w:p>
        </w:tc>
        <w:tc>
          <w:tcPr>
            <w:tcW w:w="1680" w:type="dxa"/>
            <w:vAlign w:val="center"/>
          </w:tcPr>
          <w:p>
            <w:pPr>
              <w:jc w:val="center"/>
              <w:rPr>
                <w:rFonts w:ascii="宋体" w:hAnsi="宋体" w:cs="宋体"/>
                <w:bCs/>
              </w:rPr>
            </w:pPr>
            <w:r>
              <w:rPr>
                <w:rFonts w:hint="eastAsia" w:ascii="宋体" w:hAnsi="宋体" w:cs="宋体"/>
                <w:bCs/>
              </w:rPr>
              <w:t>调压分接联片</w:t>
            </w:r>
          </w:p>
        </w:tc>
        <w:tc>
          <w:tcPr>
            <w:tcW w:w="3615" w:type="dxa"/>
          </w:tcPr>
          <w:p>
            <w:pPr>
              <w:rPr>
                <w:rFonts w:ascii="宋体" w:hAnsi="宋体" w:cs="宋体"/>
                <w:bCs/>
              </w:rPr>
            </w:pPr>
            <w:r>
              <w:rPr>
                <w:rFonts w:hint="eastAsia" w:ascii="宋体" w:hAnsi="宋体" w:cs="宋体"/>
                <w:bCs/>
              </w:rPr>
              <w:t>调压分接联片螺丝紧固</w:t>
            </w:r>
          </w:p>
        </w:tc>
        <w:tc>
          <w:tcPr>
            <w:tcW w:w="1740" w:type="dxa"/>
            <w:vAlign w:val="center"/>
          </w:tcPr>
          <w:p>
            <w:pPr>
              <w:jc w:val="center"/>
              <w:rPr>
                <w:rFonts w:ascii="宋体" w:hAnsi="宋体" w:cs="宋体"/>
                <w:bCs/>
              </w:rPr>
            </w:pPr>
            <w:r>
              <w:rPr>
                <w:rFonts w:hint="eastAsia" w:ascii="宋体" w:hAnsi="宋体" w:cs="宋体"/>
              </w:rPr>
              <w:t>发现故障，及时处理</w:t>
            </w:r>
          </w:p>
        </w:tc>
        <w:tc>
          <w:tcPr>
            <w:tcW w:w="1425" w:type="dxa"/>
          </w:tcPr>
          <w:p>
            <w:pP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Merge w:val="continue"/>
          </w:tcPr>
          <w:p>
            <w:pPr>
              <w:rPr>
                <w:rFonts w:ascii="宋体" w:hAnsi="宋体" w:cs="宋体"/>
              </w:rPr>
            </w:pPr>
          </w:p>
        </w:tc>
        <w:tc>
          <w:tcPr>
            <w:tcW w:w="1680" w:type="dxa"/>
            <w:vAlign w:val="center"/>
          </w:tcPr>
          <w:p>
            <w:pPr>
              <w:jc w:val="center"/>
              <w:rPr>
                <w:rFonts w:ascii="宋体" w:hAnsi="宋体" w:cs="宋体"/>
                <w:bCs/>
              </w:rPr>
            </w:pPr>
            <w:r>
              <w:rPr>
                <w:rFonts w:hint="eastAsia" w:ascii="宋体" w:hAnsi="宋体" w:cs="宋体"/>
                <w:bCs/>
              </w:rPr>
              <w:t>变压器温控仪、风机</w:t>
            </w:r>
          </w:p>
        </w:tc>
        <w:tc>
          <w:tcPr>
            <w:tcW w:w="3615" w:type="dxa"/>
          </w:tcPr>
          <w:p>
            <w:pPr>
              <w:rPr>
                <w:rFonts w:ascii="宋体" w:hAnsi="宋体" w:cs="宋体"/>
                <w:bCs/>
              </w:rPr>
            </w:pPr>
            <w:r>
              <w:rPr>
                <w:rFonts w:hint="eastAsia" w:ascii="宋体" w:hAnsi="宋体" w:cs="宋体"/>
                <w:bCs/>
              </w:rPr>
              <w:t>运行是否正常、启动是否正常、有无碰壳现象</w:t>
            </w:r>
          </w:p>
        </w:tc>
        <w:tc>
          <w:tcPr>
            <w:tcW w:w="1740" w:type="dxa"/>
            <w:vAlign w:val="center"/>
          </w:tcPr>
          <w:p>
            <w:pPr>
              <w:jc w:val="center"/>
              <w:rPr>
                <w:rFonts w:ascii="宋体" w:hAnsi="宋体" w:cs="宋体"/>
                <w:bCs/>
              </w:rPr>
            </w:pPr>
            <w:r>
              <w:rPr>
                <w:rFonts w:hint="eastAsia" w:ascii="宋体" w:hAnsi="宋体" w:cs="宋体"/>
              </w:rPr>
              <w:t>发现故障，及时处理</w:t>
            </w:r>
          </w:p>
        </w:tc>
        <w:tc>
          <w:tcPr>
            <w:tcW w:w="1425" w:type="dxa"/>
          </w:tcPr>
          <w:p>
            <w:pP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Merge w:val="continue"/>
          </w:tcPr>
          <w:p>
            <w:pPr>
              <w:rPr>
                <w:rFonts w:ascii="宋体" w:hAnsi="宋体" w:cs="宋体"/>
              </w:rPr>
            </w:pPr>
          </w:p>
        </w:tc>
        <w:tc>
          <w:tcPr>
            <w:tcW w:w="1680" w:type="dxa"/>
            <w:vAlign w:val="center"/>
          </w:tcPr>
          <w:p>
            <w:pPr>
              <w:jc w:val="center"/>
              <w:rPr>
                <w:rFonts w:ascii="宋体" w:hAnsi="宋体" w:cs="宋体"/>
                <w:bCs/>
              </w:rPr>
            </w:pPr>
            <w:r>
              <w:rPr>
                <w:rFonts w:hint="eastAsia" w:ascii="宋体" w:hAnsi="宋体" w:cs="宋体"/>
                <w:bCs/>
              </w:rPr>
              <w:t>变压器各部位螺栓</w:t>
            </w:r>
          </w:p>
        </w:tc>
        <w:tc>
          <w:tcPr>
            <w:tcW w:w="3615" w:type="dxa"/>
          </w:tcPr>
          <w:p>
            <w:pPr>
              <w:rPr>
                <w:rFonts w:ascii="宋体" w:hAnsi="宋体" w:cs="宋体"/>
                <w:bCs/>
              </w:rPr>
            </w:pPr>
            <w:r>
              <w:rPr>
                <w:rFonts w:hint="eastAsia" w:ascii="宋体" w:hAnsi="宋体" w:cs="宋体"/>
                <w:bCs/>
              </w:rPr>
              <w:t>变压器各部位螺栓紧固，绝缘垫块有无位移、松动或脱落</w:t>
            </w:r>
          </w:p>
        </w:tc>
        <w:tc>
          <w:tcPr>
            <w:tcW w:w="1740" w:type="dxa"/>
            <w:vAlign w:val="center"/>
          </w:tcPr>
          <w:p>
            <w:pPr>
              <w:jc w:val="center"/>
              <w:rPr>
                <w:rFonts w:ascii="宋体" w:hAnsi="宋体" w:cs="宋体"/>
                <w:bCs/>
              </w:rPr>
            </w:pPr>
            <w:r>
              <w:rPr>
                <w:rFonts w:hint="eastAsia" w:ascii="宋体" w:hAnsi="宋体" w:cs="宋体"/>
              </w:rPr>
              <w:t>发现故障，及时处理</w:t>
            </w:r>
          </w:p>
        </w:tc>
        <w:tc>
          <w:tcPr>
            <w:tcW w:w="1425" w:type="dxa"/>
          </w:tcPr>
          <w:p>
            <w:pP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Merge w:val="restart"/>
            <w:vAlign w:val="center"/>
          </w:tcPr>
          <w:p>
            <w:pPr>
              <w:jc w:val="center"/>
              <w:rPr>
                <w:rFonts w:ascii="宋体" w:hAnsi="宋体" w:cs="宋体"/>
                <w:bCs/>
              </w:rPr>
            </w:pPr>
            <w:r>
              <w:rPr>
                <w:rFonts w:hint="eastAsia" w:ascii="宋体" w:hAnsi="宋体" w:cs="宋体"/>
                <w:bCs/>
              </w:rPr>
              <w:t>油浸式变压器</w:t>
            </w:r>
          </w:p>
        </w:tc>
        <w:tc>
          <w:tcPr>
            <w:tcW w:w="1680" w:type="dxa"/>
            <w:vAlign w:val="center"/>
          </w:tcPr>
          <w:p>
            <w:pPr>
              <w:jc w:val="center"/>
              <w:rPr>
                <w:rFonts w:ascii="宋体" w:hAnsi="宋体" w:cs="宋体"/>
                <w:bCs/>
              </w:rPr>
            </w:pPr>
            <w:r>
              <w:rPr>
                <w:rFonts w:hint="eastAsia" w:ascii="宋体" w:hAnsi="宋体" w:cs="宋体"/>
                <w:bCs/>
              </w:rPr>
              <w:t>外观检查</w:t>
            </w:r>
          </w:p>
        </w:tc>
        <w:tc>
          <w:tcPr>
            <w:tcW w:w="3615" w:type="dxa"/>
          </w:tcPr>
          <w:p>
            <w:pPr>
              <w:rPr>
                <w:rFonts w:ascii="宋体" w:hAnsi="宋体" w:cs="宋体"/>
                <w:bCs/>
              </w:rPr>
            </w:pPr>
            <w:r>
              <w:rPr>
                <w:rFonts w:hint="eastAsia" w:ascii="宋体" w:hAnsi="宋体" w:cs="宋体"/>
                <w:bCs/>
              </w:rPr>
              <w:t>清扫积尘、清除靠近变压器的树枝、藤蔓、杂草等异物靠近、高低压套管有无破裂、渗油、外壳接地是否良好、</w:t>
            </w:r>
            <w:r>
              <w:rPr>
                <w:rFonts w:hint="eastAsia" w:ascii="宋体" w:hAnsi="宋体" w:cs="宋体"/>
              </w:rPr>
              <w:t>免费护理一次变压器胶珠、套管胶垫，</w:t>
            </w:r>
          </w:p>
        </w:tc>
        <w:tc>
          <w:tcPr>
            <w:tcW w:w="1740" w:type="dxa"/>
            <w:vAlign w:val="center"/>
          </w:tcPr>
          <w:p>
            <w:pPr>
              <w:jc w:val="center"/>
              <w:rPr>
                <w:rFonts w:ascii="宋体" w:hAnsi="宋体" w:cs="宋体"/>
                <w:bCs/>
              </w:rPr>
            </w:pPr>
            <w:r>
              <w:rPr>
                <w:rFonts w:hint="eastAsia" w:ascii="宋体" w:hAnsi="宋体" w:cs="宋体"/>
              </w:rPr>
              <w:t>发现故障，及时处理</w:t>
            </w:r>
          </w:p>
        </w:tc>
        <w:tc>
          <w:tcPr>
            <w:tcW w:w="1425" w:type="dxa"/>
          </w:tcPr>
          <w:p>
            <w:pP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Merge w:val="continue"/>
          </w:tcPr>
          <w:p>
            <w:pPr>
              <w:rPr>
                <w:rFonts w:ascii="宋体" w:hAnsi="宋体" w:cs="宋体"/>
              </w:rPr>
            </w:pPr>
          </w:p>
        </w:tc>
        <w:tc>
          <w:tcPr>
            <w:tcW w:w="1680" w:type="dxa"/>
            <w:vAlign w:val="center"/>
          </w:tcPr>
          <w:p>
            <w:pPr>
              <w:jc w:val="center"/>
              <w:rPr>
                <w:rFonts w:ascii="宋体" w:hAnsi="宋体" w:cs="宋体"/>
                <w:bCs/>
              </w:rPr>
            </w:pPr>
            <w:r>
              <w:rPr>
                <w:rFonts w:hint="eastAsia" w:ascii="宋体" w:hAnsi="宋体" w:cs="宋体"/>
                <w:bCs/>
              </w:rPr>
              <w:t>高、低压接线柱</w:t>
            </w:r>
          </w:p>
        </w:tc>
        <w:tc>
          <w:tcPr>
            <w:tcW w:w="3615" w:type="dxa"/>
          </w:tcPr>
          <w:p>
            <w:pPr>
              <w:rPr>
                <w:rFonts w:ascii="宋体" w:hAnsi="宋体" w:cs="宋体"/>
                <w:bCs/>
              </w:rPr>
            </w:pPr>
            <w:r>
              <w:rPr>
                <w:rFonts w:hint="eastAsia" w:ascii="宋体" w:hAnsi="宋体" w:cs="宋体"/>
                <w:bCs/>
              </w:rPr>
              <w:t>高、低压接线、导杆本体有无松动</w:t>
            </w:r>
          </w:p>
        </w:tc>
        <w:tc>
          <w:tcPr>
            <w:tcW w:w="1740" w:type="dxa"/>
            <w:vAlign w:val="center"/>
          </w:tcPr>
          <w:p>
            <w:pPr>
              <w:jc w:val="center"/>
              <w:rPr>
                <w:rFonts w:ascii="宋体" w:hAnsi="宋体" w:cs="宋体"/>
                <w:bCs/>
              </w:rPr>
            </w:pPr>
            <w:r>
              <w:rPr>
                <w:rFonts w:hint="eastAsia" w:ascii="宋体" w:hAnsi="宋体" w:cs="宋体"/>
              </w:rPr>
              <w:t>发现故障，及时处理</w:t>
            </w:r>
          </w:p>
        </w:tc>
        <w:tc>
          <w:tcPr>
            <w:tcW w:w="1425" w:type="dxa"/>
          </w:tcPr>
          <w:p>
            <w:pP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Merge w:val="continue"/>
          </w:tcPr>
          <w:p>
            <w:pPr>
              <w:rPr>
                <w:rFonts w:ascii="宋体" w:hAnsi="宋体" w:cs="宋体"/>
              </w:rPr>
            </w:pPr>
          </w:p>
        </w:tc>
        <w:tc>
          <w:tcPr>
            <w:tcW w:w="1680" w:type="dxa"/>
            <w:vAlign w:val="center"/>
          </w:tcPr>
          <w:p>
            <w:pPr>
              <w:jc w:val="center"/>
              <w:rPr>
                <w:rFonts w:ascii="宋体" w:hAnsi="宋体" w:cs="宋体"/>
                <w:bCs/>
              </w:rPr>
            </w:pPr>
            <w:r>
              <w:rPr>
                <w:rFonts w:hint="eastAsia" w:ascii="宋体" w:hAnsi="宋体" w:cs="宋体"/>
                <w:bCs/>
              </w:rPr>
              <w:t>呼吸器</w:t>
            </w:r>
          </w:p>
        </w:tc>
        <w:tc>
          <w:tcPr>
            <w:tcW w:w="3615" w:type="dxa"/>
          </w:tcPr>
          <w:p>
            <w:pPr>
              <w:rPr>
                <w:rFonts w:ascii="宋体" w:hAnsi="宋体" w:cs="宋体"/>
                <w:bCs/>
              </w:rPr>
            </w:pPr>
            <w:r>
              <w:rPr>
                <w:rFonts w:hint="eastAsia" w:ascii="宋体" w:hAnsi="宋体" w:cs="宋体"/>
              </w:rPr>
              <w:t>免费护理一次</w:t>
            </w:r>
            <w:r>
              <w:rPr>
                <w:rFonts w:hint="eastAsia" w:ascii="宋体" w:hAnsi="宋体" w:cs="宋体"/>
                <w:bCs/>
              </w:rPr>
              <w:t>呼吸器</w:t>
            </w:r>
          </w:p>
        </w:tc>
        <w:tc>
          <w:tcPr>
            <w:tcW w:w="1740" w:type="dxa"/>
            <w:vAlign w:val="center"/>
          </w:tcPr>
          <w:p>
            <w:pPr>
              <w:jc w:val="center"/>
              <w:rPr>
                <w:rFonts w:ascii="宋体" w:hAnsi="宋体" w:cs="宋体"/>
                <w:bCs/>
              </w:rPr>
            </w:pPr>
            <w:r>
              <w:rPr>
                <w:rFonts w:hint="eastAsia" w:ascii="宋体" w:hAnsi="宋体" w:cs="宋体"/>
              </w:rPr>
              <w:t>发现故障，及时处理</w:t>
            </w:r>
          </w:p>
        </w:tc>
        <w:tc>
          <w:tcPr>
            <w:tcW w:w="1425" w:type="dxa"/>
          </w:tcPr>
          <w:p>
            <w:pP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Merge w:val="continue"/>
          </w:tcPr>
          <w:p>
            <w:pPr>
              <w:rPr>
                <w:rFonts w:ascii="宋体" w:hAnsi="宋体" w:cs="宋体"/>
              </w:rPr>
            </w:pPr>
          </w:p>
        </w:tc>
        <w:tc>
          <w:tcPr>
            <w:tcW w:w="1680" w:type="dxa"/>
            <w:vAlign w:val="center"/>
          </w:tcPr>
          <w:p>
            <w:pPr>
              <w:jc w:val="center"/>
              <w:rPr>
                <w:rFonts w:ascii="宋体" w:hAnsi="宋体" w:cs="宋体"/>
                <w:bCs/>
              </w:rPr>
            </w:pPr>
            <w:r>
              <w:rPr>
                <w:rFonts w:hint="eastAsia" w:ascii="宋体" w:hAnsi="宋体" w:cs="宋体"/>
                <w:bCs/>
              </w:rPr>
              <w:t>胶珠、密封胶垫</w:t>
            </w:r>
          </w:p>
        </w:tc>
        <w:tc>
          <w:tcPr>
            <w:tcW w:w="3615" w:type="dxa"/>
          </w:tcPr>
          <w:p>
            <w:pPr>
              <w:rPr>
                <w:rFonts w:ascii="宋体" w:hAnsi="宋体" w:cs="宋体"/>
                <w:bCs/>
              </w:rPr>
            </w:pPr>
            <w:r>
              <w:rPr>
                <w:rFonts w:hint="eastAsia" w:ascii="宋体" w:hAnsi="宋体" w:cs="宋体"/>
              </w:rPr>
              <w:t>免费护理一次</w:t>
            </w:r>
            <w:r>
              <w:rPr>
                <w:rFonts w:hint="eastAsia" w:ascii="宋体" w:hAnsi="宋体" w:cs="宋体"/>
                <w:bCs/>
              </w:rPr>
              <w:t>胶珠、密封胶垫</w:t>
            </w:r>
          </w:p>
        </w:tc>
        <w:tc>
          <w:tcPr>
            <w:tcW w:w="1740" w:type="dxa"/>
            <w:vAlign w:val="center"/>
          </w:tcPr>
          <w:p>
            <w:pPr>
              <w:jc w:val="center"/>
              <w:rPr>
                <w:rFonts w:ascii="宋体" w:hAnsi="宋体" w:cs="宋体"/>
                <w:bCs/>
              </w:rPr>
            </w:pPr>
            <w:r>
              <w:rPr>
                <w:rFonts w:hint="eastAsia" w:ascii="宋体" w:hAnsi="宋体" w:cs="宋体"/>
              </w:rPr>
              <w:t>发现故障，及时处理</w:t>
            </w:r>
          </w:p>
        </w:tc>
        <w:tc>
          <w:tcPr>
            <w:tcW w:w="1425" w:type="dxa"/>
          </w:tcPr>
          <w:p>
            <w:pP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Merge w:val="continue"/>
          </w:tcPr>
          <w:p>
            <w:pPr>
              <w:rPr>
                <w:rFonts w:ascii="宋体" w:hAnsi="宋体" w:cs="宋体"/>
              </w:rPr>
            </w:pPr>
          </w:p>
        </w:tc>
        <w:tc>
          <w:tcPr>
            <w:tcW w:w="1680" w:type="dxa"/>
            <w:vAlign w:val="center"/>
          </w:tcPr>
          <w:p>
            <w:pPr>
              <w:jc w:val="center"/>
              <w:rPr>
                <w:rFonts w:ascii="宋体" w:hAnsi="宋体" w:cs="宋体"/>
                <w:bCs/>
              </w:rPr>
            </w:pPr>
            <w:r>
              <w:rPr>
                <w:rFonts w:hint="eastAsia" w:ascii="宋体" w:hAnsi="宋体" w:cs="宋体"/>
                <w:bCs/>
              </w:rPr>
              <w:t>调压阀</w:t>
            </w:r>
          </w:p>
        </w:tc>
        <w:tc>
          <w:tcPr>
            <w:tcW w:w="3615" w:type="dxa"/>
          </w:tcPr>
          <w:p>
            <w:pPr>
              <w:rPr>
                <w:rFonts w:ascii="宋体" w:hAnsi="宋体" w:cs="宋体"/>
                <w:bCs/>
              </w:rPr>
            </w:pPr>
            <w:r>
              <w:rPr>
                <w:rFonts w:hint="eastAsia" w:ascii="宋体" w:hAnsi="宋体" w:cs="宋体"/>
                <w:bCs/>
              </w:rPr>
              <w:t>档位调节是否正常</w:t>
            </w:r>
          </w:p>
        </w:tc>
        <w:tc>
          <w:tcPr>
            <w:tcW w:w="1740" w:type="dxa"/>
            <w:vAlign w:val="center"/>
          </w:tcPr>
          <w:p>
            <w:pPr>
              <w:jc w:val="center"/>
              <w:rPr>
                <w:rFonts w:ascii="宋体" w:hAnsi="宋体" w:cs="宋体"/>
                <w:bCs/>
              </w:rPr>
            </w:pPr>
            <w:r>
              <w:rPr>
                <w:rFonts w:hint="eastAsia" w:ascii="宋体" w:hAnsi="宋体" w:cs="宋体"/>
              </w:rPr>
              <w:t>发现故障，及时处理</w:t>
            </w:r>
          </w:p>
        </w:tc>
        <w:tc>
          <w:tcPr>
            <w:tcW w:w="1425" w:type="dxa"/>
          </w:tcPr>
          <w:p>
            <w:pP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Merge w:val="continue"/>
          </w:tcPr>
          <w:p>
            <w:pPr>
              <w:rPr>
                <w:rFonts w:ascii="宋体" w:hAnsi="宋体" w:cs="宋体"/>
              </w:rPr>
            </w:pPr>
          </w:p>
        </w:tc>
        <w:tc>
          <w:tcPr>
            <w:tcW w:w="1680" w:type="dxa"/>
            <w:vAlign w:val="center"/>
          </w:tcPr>
          <w:p>
            <w:pPr>
              <w:jc w:val="center"/>
              <w:rPr>
                <w:rFonts w:ascii="宋体" w:hAnsi="宋体" w:cs="宋体"/>
                <w:bCs/>
              </w:rPr>
            </w:pPr>
            <w:r>
              <w:rPr>
                <w:rFonts w:hint="eastAsia" w:ascii="宋体" w:hAnsi="宋体" w:cs="宋体"/>
                <w:bCs/>
              </w:rPr>
              <w:t>油标</w:t>
            </w:r>
          </w:p>
        </w:tc>
        <w:tc>
          <w:tcPr>
            <w:tcW w:w="3615" w:type="dxa"/>
          </w:tcPr>
          <w:p>
            <w:pPr>
              <w:rPr>
                <w:rFonts w:ascii="宋体" w:hAnsi="宋体" w:cs="宋体"/>
                <w:bCs/>
              </w:rPr>
            </w:pPr>
            <w:r>
              <w:rPr>
                <w:rFonts w:hint="eastAsia" w:ascii="宋体" w:hAnsi="宋体" w:cs="宋体"/>
                <w:bCs/>
              </w:rPr>
              <w:t>油位是否正常</w:t>
            </w:r>
          </w:p>
        </w:tc>
        <w:tc>
          <w:tcPr>
            <w:tcW w:w="1740" w:type="dxa"/>
            <w:vAlign w:val="center"/>
          </w:tcPr>
          <w:p>
            <w:pPr>
              <w:jc w:val="center"/>
              <w:rPr>
                <w:rFonts w:ascii="宋体" w:hAnsi="宋体" w:cs="宋体"/>
                <w:bCs/>
              </w:rPr>
            </w:pPr>
            <w:r>
              <w:rPr>
                <w:rFonts w:hint="eastAsia" w:ascii="宋体" w:hAnsi="宋体" w:cs="宋体"/>
              </w:rPr>
              <w:t>发现故障，及时处理</w:t>
            </w:r>
          </w:p>
        </w:tc>
        <w:tc>
          <w:tcPr>
            <w:tcW w:w="1425" w:type="dxa"/>
          </w:tcPr>
          <w:p>
            <w:pP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Merge w:val="continue"/>
          </w:tcPr>
          <w:p>
            <w:pPr>
              <w:rPr>
                <w:rFonts w:ascii="宋体" w:hAnsi="宋体" w:cs="宋体"/>
              </w:rPr>
            </w:pPr>
          </w:p>
        </w:tc>
        <w:tc>
          <w:tcPr>
            <w:tcW w:w="1680" w:type="dxa"/>
            <w:vAlign w:val="center"/>
          </w:tcPr>
          <w:p>
            <w:pPr>
              <w:jc w:val="center"/>
              <w:rPr>
                <w:rFonts w:ascii="宋体" w:hAnsi="宋体" w:cs="宋体"/>
                <w:bCs/>
              </w:rPr>
            </w:pPr>
            <w:r>
              <w:rPr>
                <w:rFonts w:hint="eastAsia" w:ascii="宋体" w:hAnsi="宋体" w:cs="宋体"/>
                <w:bCs/>
              </w:rPr>
              <w:t>令克</w:t>
            </w:r>
          </w:p>
        </w:tc>
        <w:tc>
          <w:tcPr>
            <w:tcW w:w="3615" w:type="dxa"/>
          </w:tcPr>
          <w:p>
            <w:pPr>
              <w:rPr>
                <w:rFonts w:ascii="宋体" w:hAnsi="宋体" w:cs="宋体"/>
                <w:bCs/>
              </w:rPr>
            </w:pPr>
            <w:r>
              <w:rPr>
                <w:rFonts w:hint="eastAsia" w:ascii="宋体" w:hAnsi="宋体" w:cs="宋体"/>
              </w:rPr>
              <w:t>免费护理一次高压跌落式令克保险丝</w:t>
            </w:r>
          </w:p>
        </w:tc>
        <w:tc>
          <w:tcPr>
            <w:tcW w:w="1740" w:type="dxa"/>
            <w:vAlign w:val="center"/>
          </w:tcPr>
          <w:p>
            <w:pPr>
              <w:jc w:val="center"/>
              <w:rPr>
                <w:rFonts w:ascii="宋体" w:hAnsi="宋体" w:cs="宋体"/>
                <w:bCs/>
              </w:rPr>
            </w:pPr>
            <w:r>
              <w:rPr>
                <w:rFonts w:hint="eastAsia" w:ascii="宋体" w:hAnsi="宋体" w:cs="宋体"/>
              </w:rPr>
              <w:t>发现故障，及时处理</w:t>
            </w:r>
          </w:p>
        </w:tc>
        <w:tc>
          <w:tcPr>
            <w:tcW w:w="1425" w:type="dxa"/>
          </w:tcPr>
          <w:p>
            <w:pP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0" w:type="dxa"/>
            <w:vMerge w:val="continue"/>
          </w:tcPr>
          <w:p>
            <w:pPr>
              <w:rPr>
                <w:rFonts w:ascii="宋体" w:hAnsi="宋体" w:cs="宋体"/>
              </w:rPr>
            </w:pPr>
          </w:p>
        </w:tc>
        <w:tc>
          <w:tcPr>
            <w:tcW w:w="1680" w:type="dxa"/>
            <w:vAlign w:val="center"/>
          </w:tcPr>
          <w:p>
            <w:pPr>
              <w:jc w:val="center"/>
              <w:rPr>
                <w:rFonts w:ascii="宋体" w:hAnsi="宋体" w:cs="宋体"/>
                <w:bCs/>
              </w:rPr>
            </w:pPr>
            <w:r>
              <w:rPr>
                <w:rFonts w:hint="eastAsia" w:ascii="宋体" w:hAnsi="宋体" w:cs="宋体"/>
                <w:bCs/>
              </w:rPr>
              <w:t>取油样</w:t>
            </w:r>
          </w:p>
        </w:tc>
        <w:tc>
          <w:tcPr>
            <w:tcW w:w="3615" w:type="dxa"/>
          </w:tcPr>
          <w:p>
            <w:pPr>
              <w:rPr>
                <w:rFonts w:ascii="宋体" w:hAnsi="宋体" w:cs="宋体"/>
                <w:bCs/>
              </w:rPr>
            </w:pPr>
            <w:r>
              <w:rPr>
                <w:rFonts w:hint="eastAsia" w:ascii="宋体" w:hAnsi="宋体" w:cs="宋体"/>
                <w:bCs/>
              </w:rPr>
              <w:t>油样试验</w:t>
            </w:r>
          </w:p>
        </w:tc>
        <w:tc>
          <w:tcPr>
            <w:tcW w:w="1740" w:type="dxa"/>
            <w:vAlign w:val="center"/>
          </w:tcPr>
          <w:p>
            <w:pPr>
              <w:jc w:val="center"/>
              <w:rPr>
                <w:rFonts w:ascii="宋体" w:hAnsi="宋体" w:cs="宋体"/>
                <w:bCs/>
              </w:rPr>
            </w:pPr>
            <w:r>
              <w:rPr>
                <w:rFonts w:hint="eastAsia" w:ascii="宋体" w:hAnsi="宋体" w:cs="宋体"/>
              </w:rPr>
              <w:t>发现故障，及时处理</w:t>
            </w:r>
          </w:p>
        </w:tc>
        <w:tc>
          <w:tcPr>
            <w:tcW w:w="1425" w:type="dxa"/>
          </w:tcPr>
          <w:p>
            <w:pP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Merge w:val="restart"/>
            <w:vAlign w:val="center"/>
          </w:tcPr>
          <w:p>
            <w:pPr>
              <w:jc w:val="center"/>
              <w:rPr>
                <w:rFonts w:ascii="宋体" w:hAnsi="宋体" w:cs="宋体"/>
                <w:bCs/>
              </w:rPr>
            </w:pPr>
          </w:p>
          <w:p>
            <w:pPr>
              <w:jc w:val="center"/>
              <w:rPr>
                <w:rFonts w:ascii="宋体" w:hAnsi="宋体" w:cs="宋体"/>
                <w:bCs/>
              </w:rPr>
            </w:pPr>
            <w:r>
              <w:rPr>
                <w:rFonts w:hint="eastAsia" w:ascii="宋体" w:hAnsi="宋体" w:cs="宋体"/>
                <w:bCs/>
              </w:rPr>
              <w:t>户内高压设备</w:t>
            </w:r>
          </w:p>
        </w:tc>
        <w:tc>
          <w:tcPr>
            <w:tcW w:w="1680" w:type="dxa"/>
            <w:vAlign w:val="center"/>
          </w:tcPr>
          <w:p>
            <w:pPr>
              <w:jc w:val="center"/>
              <w:rPr>
                <w:rFonts w:ascii="宋体" w:hAnsi="宋体" w:cs="宋体"/>
                <w:bCs/>
              </w:rPr>
            </w:pPr>
            <w:r>
              <w:rPr>
                <w:rFonts w:hint="eastAsia" w:ascii="宋体" w:hAnsi="宋体" w:cs="宋体"/>
                <w:bCs/>
              </w:rPr>
              <w:t>高压进线柜</w:t>
            </w:r>
          </w:p>
        </w:tc>
        <w:tc>
          <w:tcPr>
            <w:tcW w:w="3615" w:type="dxa"/>
          </w:tcPr>
          <w:p>
            <w:pPr>
              <w:rPr>
                <w:rFonts w:ascii="宋体" w:hAnsi="宋体" w:cs="宋体"/>
                <w:bCs/>
              </w:rPr>
            </w:pPr>
            <w:r>
              <w:rPr>
                <w:rFonts w:hint="eastAsia" w:ascii="宋体" w:hAnsi="宋体" w:cs="宋体"/>
                <w:bCs/>
              </w:rPr>
              <w:t>检查开关分、合闸操作是否正常，开关机械传动部加润滑油。检查一、二次接线有无烧坏，绝缘部位有无放电痕迹。检查指示灯、仪表是否正常。封堵柜内孔洞。检查柜门、锁有无损坏，柜门开、闭是否正常。清扫柜内有无积尘、蜘蛛网。</w:t>
            </w:r>
          </w:p>
        </w:tc>
        <w:tc>
          <w:tcPr>
            <w:tcW w:w="1740" w:type="dxa"/>
            <w:vAlign w:val="center"/>
          </w:tcPr>
          <w:p>
            <w:pPr>
              <w:jc w:val="center"/>
              <w:rPr>
                <w:rFonts w:ascii="宋体" w:hAnsi="宋体" w:cs="宋体"/>
                <w:bCs/>
              </w:rPr>
            </w:pPr>
            <w:r>
              <w:rPr>
                <w:rFonts w:hint="eastAsia" w:ascii="宋体" w:hAnsi="宋体" w:cs="宋体"/>
              </w:rPr>
              <w:t>发现故障，及时处理</w:t>
            </w:r>
          </w:p>
        </w:tc>
        <w:tc>
          <w:tcPr>
            <w:tcW w:w="1425" w:type="dxa"/>
          </w:tcPr>
          <w:p>
            <w:pP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1320" w:type="dxa"/>
            <w:vMerge w:val="continue"/>
          </w:tcPr>
          <w:p>
            <w:pPr>
              <w:rPr>
                <w:rFonts w:ascii="宋体" w:hAnsi="宋体" w:cs="宋体"/>
              </w:rPr>
            </w:pPr>
          </w:p>
        </w:tc>
        <w:tc>
          <w:tcPr>
            <w:tcW w:w="1680" w:type="dxa"/>
            <w:vAlign w:val="center"/>
          </w:tcPr>
          <w:p>
            <w:pPr>
              <w:jc w:val="center"/>
              <w:rPr>
                <w:rFonts w:ascii="宋体" w:hAnsi="宋体" w:cs="宋体"/>
                <w:bCs/>
              </w:rPr>
            </w:pPr>
            <w:r>
              <w:rPr>
                <w:rFonts w:hint="eastAsia" w:ascii="宋体" w:hAnsi="宋体" w:cs="宋体"/>
                <w:bCs/>
              </w:rPr>
              <w:t>高压计量柜</w:t>
            </w:r>
          </w:p>
        </w:tc>
        <w:tc>
          <w:tcPr>
            <w:tcW w:w="3615" w:type="dxa"/>
          </w:tcPr>
          <w:p>
            <w:pPr>
              <w:rPr>
                <w:rFonts w:ascii="宋体" w:hAnsi="宋体" w:cs="宋体"/>
                <w:bCs/>
              </w:rPr>
            </w:pPr>
            <w:r>
              <w:rPr>
                <w:rFonts w:hint="eastAsia" w:ascii="宋体" w:hAnsi="宋体" w:cs="宋体"/>
                <w:bCs/>
              </w:rPr>
              <w:t>检查一、二次接线有无烧坏，绝缘部位有无放电痕迹。封堵柜内孔洞。检查柜门、锁有无损坏，柜门开、闭是否正常。清扫柜内积尘、蜘蛛网。</w:t>
            </w:r>
          </w:p>
        </w:tc>
        <w:tc>
          <w:tcPr>
            <w:tcW w:w="1740" w:type="dxa"/>
            <w:vAlign w:val="center"/>
          </w:tcPr>
          <w:p>
            <w:pPr>
              <w:jc w:val="center"/>
              <w:rPr>
                <w:rFonts w:ascii="宋体" w:hAnsi="宋体" w:cs="宋体"/>
                <w:bCs/>
              </w:rPr>
            </w:pPr>
            <w:r>
              <w:rPr>
                <w:rFonts w:hint="eastAsia" w:ascii="宋体" w:hAnsi="宋体" w:cs="宋体"/>
              </w:rPr>
              <w:t>发现故障，及时处理</w:t>
            </w:r>
          </w:p>
        </w:tc>
        <w:tc>
          <w:tcPr>
            <w:tcW w:w="1425" w:type="dxa"/>
          </w:tcPr>
          <w:p>
            <w:pP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1320" w:type="dxa"/>
            <w:vMerge w:val="continue"/>
          </w:tcPr>
          <w:p>
            <w:pPr>
              <w:rPr>
                <w:rFonts w:ascii="宋体" w:hAnsi="宋体" w:cs="宋体"/>
              </w:rPr>
            </w:pPr>
          </w:p>
        </w:tc>
        <w:tc>
          <w:tcPr>
            <w:tcW w:w="1680" w:type="dxa"/>
            <w:vAlign w:val="center"/>
          </w:tcPr>
          <w:p>
            <w:pPr>
              <w:jc w:val="center"/>
              <w:rPr>
                <w:rFonts w:ascii="宋体" w:hAnsi="宋体" w:cs="宋体"/>
                <w:bCs/>
              </w:rPr>
            </w:pPr>
            <w:r>
              <w:rPr>
                <w:rFonts w:hint="eastAsia" w:ascii="宋体" w:hAnsi="宋体" w:cs="宋体"/>
                <w:bCs/>
              </w:rPr>
              <w:t>高压母联柜</w:t>
            </w:r>
          </w:p>
        </w:tc>
        <w:tc>
          <w:tcPr>
            <w:tcW w:w="3615" w:type="dxa"/>
          </w:tcPr>
          <w:p>
            <w:pPr>
              <w:rPr>
                <w:rFonts w:ascii="宋体" w:hAnsi="宋体" w:cs="宋体"/>
                <w:bCs/>
              </w:rPr>
            </w:pPr>
            <w:r>
              <w:rPr>
                <w:rFonts w:hint="eastAsia" w:ascii="宋体" w:hAnsi="宋体" w:cs="宋体"/>
                <w:bCs/>
              </w:rPr>
              <w:t>检查开关分、合闸操作是否正常，开关机械传动部加润滑油。检查一、二次接线有无烧坏，绝缘部位有无放电痕迹。封堵柜内孔洞。检查柜门、锁有无损坏，柜门开、闭是否正常。检查指示灯、仪表是否正常。清扫柜内积尘、蜘蛛网。</w:t>
            </w:r>
          </w:p>
        </w:tc>
        <w:tc>
          <w:tcPr>
            <w:tcW w:w="1740" w:type="dxa"/>
            <w:vAlign w:val="center"/>
          </w:tcPr>
          <w:p>
            <w:pPr>
              <w:jc w:val="center"/>
              <w:rPr>
                <w:rFonts w:ascii="宋体" w:hAnsi="宋体" w:cs="宋体"/>
                <w:bCs/>
              </w:rPr>
            </w:pPr>
            <w:r>
              <w:rPr>
                <w:rFonts w:hint="eastAsia" w:ascii="宋体" w:hAnsi="宋体" w:cs="宋体"/>
              </w:rPr>
              <w:t>发现故障，及时处理</w:t>
            </w:r>
          </w:p>
        </w:tc>
        <w:tc>
          <w:tcPr>
            <w:tcW w:w="1425" w:type="dxa"/>
          </w:tcPr>
          <w:p>
            <w:pP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Merge w:val="continue"/>
          </w:tcPr>
          <w:p>
            <w:pPr>
              <w:rPr>
                <w:rFonts w:ascii="宋体" w:hAnsi="宋体" w:cs="宋体"/>
              </w:rPr>
            </w:pPr>
          </w:p>
        </w:tc>
        <w:tc>
          <w:tcPr>
            <w:tcW w:w="1680" w:type="dxa"/>
            <w:vAlign w:val="center"/>
          </w:tcPr>
          <w:p>
            <w:pPr>
              <w:jc w:val="center"/>
              <w:rPr>
                <w:rFonts w:ascii="宋体" w:hAnsi="宋体" w:cs="宋体"/>
                <w:bCs/>
              </w:rPr>
            </w:pPr>
            <w:r>
              <w:rPr>
                <w:rFonts w:hint="eastAsia" w:ascii="宋体" w:hAnsi="宋体" w:cs="宋体"/>
                <w:bCs/>
              </w:rPr>
              <w:t>高压出线柜</w:t>
            </w:r>
          </w:p>
        </w:tc>
        <w:tc>
          <w:tcPr>
            <w:tcW w:w="3615" w:type="dxa"/>
          </w:tcPr>
          <w:p>
            <w:pPr>
              <w:rPr>
                <w:rFonts w:ascii="宋体" w:hAnsi="宋体" w:cs="宋体"/>
                <w:bCs/>
              </w:rPr>
            </w:pPr>
            <w:r>
              <w:rPr>
                <w:rFonts w:hint="eastAsia" w:ascii="宋体" w:hAnsi="宋体" w:cs="宋体"/>
                <w:bCs/>
              </w:rPr>
              <w:t>检查开关分、合闸操作是否正常，开关机械传动部加润滑油。检查一、二次接线有无烧坏，绝缘部位有无放电痕迹。检查指示灯、仪表是否正常。封堵柜内孔洞。检查柜门、锁有无损坏，柜门开、闭是否正常。清扫柜内积尘、蜘蛛网。</w:t>
            </w:r>
          </w:p>
        </w:tc>
        <w:tc>
          <w:tcPr>
            <w:tcW w:w="1740" w:type="dxa"/>
            <w:vAlign w:val="center"/>
          </w:tcPr>
          <w:p>
            <w:pPr>
              <w:jc w:val="center"/>
              <w:rPr>
                <w:rFonts w:ascii="宋体" w:hAnsi="宋体" w:cs="宋体"/>
                <w:bCs/>
              </w:rPr>
            </w:pPr>
            <w:r>
              <w:rPr>
                <w:rFonts w:hint="eastAsia" w:ascii="宋体" w:hAnsi="宋体" w:cs="宋体"/>
              </w:rPr>
              <w:t>发现故障，及时处理</w:t>
            </w:r>
          </w:p>
        </w:tc>
        <w:tc>
          <w:tcPr>
            <w:tcW w:w="1425" w:type="dxa"/>
          </w:tcPr>
          <w:p>
            <w:pP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Merge w:val="restart"/>
            <w:vAlign w:val="center"/>
          </w:tcPr>
          <w:p>
            <w:pPr>
              <w:jc w:val="center"/>
              <w:rPr>
                <w:rFonts w:ascii="宋体" w:hAnsi="宋体" w:cs="宋体"/>
                <w:bCs/>
              </w:rPr>
            </w:pPr>
            <w:r>
              <w:rPr>
                <w:rFonts w:hint="eastAsia" w:ascii="宋体" w:hAnsi="宋体" w:cs="宋体"/>
                <w:bCs/>
              </w:rPr>
              <w:t>户内低压设备</w:t>
            </w:r>
          </w:p>
        </w:tc>
        <w:tc>
          <w:tcPr>
            <w:tcW w:w="1680" w:type="dxa"/>
            <w:vAlign w:val="center"/>
          </w:tcPr>
          <w:p>
            <w:pPr>
              <w:jc w:val="center"/>
              <w:rPr>
                <w:rFonts w:ascii="宋体" w:hAnsi="宋体" w:cs="宋体"/>
                <w:bCs/>
              </w:rPr>
            </w:pPr>
            <w:r>
              <w:rPr>
                <w:rFonts w:hint="eastAsia" w:ascii="宋体" w:hAnsi="宋体" w:cs="宋体"/>
                <w:bCs/>
              </w:rPr>
              <w:t>低压进线柜</w:t>
            </w:r>
          </w:p>
        </w:tc>
        <w:tc>
          <w:tcPr>
            <w:tcW w:w="3615" w:type="dxa"/>
          </w:tcPr>
          <w:p>
            <w:pPr>
              <w:rPr>
                <w:rFonts w:ascii="宋体" w:hAnsi="宋体" w:cs="宋体"/>
                <w:bCs/>
              </w:rPr>
            </w:pPr>
            <w:r>
              <w:rPr>
                <w:rFonts w:hint="eastAsia" w:ascii="宋体" w:hAnsi="宋体" w:cs="宋体"/>
                <w:bCs/>
              </w:rPr>
              <w:t>检查刀开关、断路器分、合闸操作是否正常，开关机械传动部加润滑油。检查一、二次接线有无烧坏，绝缘部位有无放电痕迹。检查指示灯、仪表是否正常。封堵柜内孔洞。检查柜门、锁有无损坏，柜门开、闭是否正常。清扫柜内积尘、蜘蛛网。</w:t>
            </w:r>
          </w:p>
        </w:tc>
        <w:tc>
          <w:tcPr>
            <w:tcW w:w="1740" w:type="dxa"/>
            <w:vAlign w:val="center"/>
          </w:tcPr>
          <w:p>
            <w:pPr>
              <w:jc w:val="center"/>
              <w:rPr>
                <w:rFonts w:ascii="宋体" w:hAnsi="宋体" w:cs="宋体"/>
                <w:bCs/>
              </w:rPr>
            </w:pPr>
            <w:r>
              <w:rPr>
                <w:rFonts w:hint="eastAsia" w:ascii="宋体" w:hAnsi="宋体" w:cs="宋体"/>
              </w:rPr>
              <w:t>发现故障，及时处理</w:t>
            </w:r>
          </w:p>
        </w:tc>
        <w:tc>
          <w:tcPr>
            <w:tcW w:w="1425" w:type="dxa"/>
          </w:tcPr>
          <w:p>
            <w:pP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1320" w:type="dxa"/>
            <w:vMerge w:val="continue"/>
          </w:tcPr>
          <w:p>
            <w:pPr>
              <w:rPr>
                <w:rFonts w:ascii="宋体" w:hAnsi="宋体" w:cs="宋体"/>
              </w:rPr>
            </w:pPr>
          </w:p>
        </w:tc>
        <w:tc>
          <w:tcPr>
            <w:tcW w:w="1680" w:type="dxa"/>
            <w:vAlign w:val="center"/>
          </w:tcPr>
          <w:p>
            <w:pPr>
              <w:jc w:val="center"/>
              <w:rPr>
                <w:rFonts w:ascii="宋体" w:hAnsi="宋体" w:cs="宋体"/>
                <w:bCs/>
              </w:rPr>
            </w:pPr>
            <w:r>
              <w:rPr>
                <w:rFonts w:hint="eastAsia" w:ascii="宋体" w:hAnsi="宋体" w:cs="宋体"/>
                <w:bCs/>
              </w:rPr>
              <w:t>低压计量柜</w:t>
            </w:r>
          </w:p>
        </w:tc>
        <w:tc>
          <w:tcPr>
            <w:tcW w:w="3615" w:type="dxa"/>
          </w:tcPr>
          <w:p>
            <w:pPr>
              <w:rPr>
                <w:rFonts w:ascii="宋体" w:hAnsi="宋体" w:cs="宋体"/>
                <w:bCs/>
              </w:rPr>
            </w:pPr>
            <w:r>
              <w:rPr>
                <w:rFonts w:hint="eastAsia" w:ascii="宋体" w:hAnsi="宋体" w:cs="宋体"/>
                <w:bCs/>
              </w:rPr>
              <w:t>检查一、二次接线有无烧坏，绝缘部位有无放电痕迹。封堵柜内孔洞。检查柜门、锁有无损坏，柜门开、闭是否正常。清扫柜内积尘、蜘蛛网。</w:t>
            </w:r>
          </w:p>
        </w:tc>
        <w:tc>
          <w:tcPr>
            <w:tcW w:w="1740" w:type="dxa"/>
            <w:vAlign w:val="center"/>
          </w:tcPr>
          <w:p>
            <w:pPr>
              <w:jc w:val="center"/>
              <w:rPr>
                <w:rFonts w:ascii="宋体" w:hAnsi="宋体" w:cs="宋体"/>
                <w:bCs/>
              </w:rPr>
            </w:pPr>
            <w:r>
              <w:rPr>
                <w:rFonts w:hint="eastAsia" w:ascii="宋体" w:hAnsi="宋体" w:cs="宋体"/>
              </w:rPr>
              <w:t>发现故障，及时处理</w:t>
            </w:r>
          </w:p>
        </w:tc>
        <w:tc>
          <w:tcPr>
            <w:tcW w:w="1425" w:type="dxa"/>
          </w:tcPr>
          <w:p>
            <w:pP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1320" w:type="dxa"/>
            <w:vMerge w:val="continue"/>
          </w:tcPr>
          <w:p>
            <w:pPr>
              <w:rPr>
                <w:rFonts w:ascii="宋体" w:hAnsi="宋体" w:cs="宋体"/>
              </w:rPr>
            </w:pPr>
          </w:p>
        </w:tc>
        <w:tc>
          <w:tcPr>
            <w:tcW w:w="1680" w:type="dxa"/>
            <w:vAlign w:val="center"/>
          </w:tcPr>
          <w:p>
            <w:pPr>
              <w:jc w:val="center"/>
              <w:rPr>
                <w:rFonts w:ascii="宋体" w:hAnsi="宋体" w:cs="宋体"/>
                <w:bCs/>
              </w:rPr>
            </w:pPr>
            <w:r>
              <w:rPr>
                <w:rFonts w:hint="eastAsia" w:ascii="宋体" w:hAnsi="宋体" w:cs="宋体"/>
                <w:bCs/>
              </w:rPr>
              <w:t>低压母联柜</w:t>
            </w:r>
          </w:p>
        </w:tc>
        <w:tc>
          <w:tcPr>
            <w:tcW w:w="3615" w:type="dxa"/>
          </w:tcPr>
          <w:p>
            <w:pPr>
              <w:rPr>
                <w:rFonts w:ascii="宋体" w:hAnsi="宋体" w:cs="宋体"/>
                <w:bCs/>
              </w:rPr>
            </w:pPr>
            <w:r>
              <w:rPr>
                <w:rFonts w:hint="eastAsia" w:ascii="宋体" w:hAnsi="宋体" w:cs="宋体"/>
                <w:bCs/>
              </w:rPr>
              <w:t>检查刀开关、断路器分、合闸操作是否正常，开关机械传动部加润滑油。检查一、二次接线有无烧坏，绝缘部位有无放电痕迹。检查指示灯、仪表是否正常。封堵柜内孔洞。检查柜门、锁有无损坏，柜门开、闭是否正常。清扫柜内积尘、蜘蛛网。</w:t>
            </w:r>
          </w:p>
        </w:tc>
        <w:tc>
          <w:tcPr>
            <w:tcW w:w="1740" w:type="dxa"/>
            <w:vAlign w:val="center"/>
          </w:tcPr>
          <w:p>
            <w:pPr>
              <w:jc w:val="center"/>
              <w:rPr>
                <w:rFonts w:ascii="宋体" w:hAnsi="宋体" w:cs="宋体"/>
                <w:bCs/>
              </w:rPr>
            </w:pPr>
            <w:r>
              <w:rPr>
                <w:rFonts w:hint="eastAsia" w:ascii="宋体" w:hAnsi="宋体" w:cs="宋体"/>
              </w:rPr>
              <w:t>发现故障，及时处理</w:t>
            </w:r>
          </w:p>
        </w:tc>
        <w:tc>
          <w:tcPr>
            <w:tcW w:w="1425" w:type="dxa"/>
          </w:tcPr>
          <w:p>
            <w:pP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Merge w:val="continue"/>
          </w:tcPr>
          <w:p>
            <w:pPr>
              <w:rPr>
                <w:rFonts w:ascii="宋体" w:hAnsi="宋体" w:cs="宋体"/>
              </w:rPr>
            </w:pPr>
          </w:p>
        </w:tc>
        <w:tc>
          <w:tcPr>
            <w:tcW w:w="1680" w:type="dxa"/>
            <w:vAlign w:val="center"/>
          </w:tcPr>
          <w:p>
            <w:pPr>
              <w:jc w:val="center"/>
              <w:rPr>
                <w:rFonts w:ascii="宋体" w:hAnsi="宋体" w:cs="宋体"/>
                <w:bCs/>
              </w:rPr>
            </w:pPr>
            <w:r>
              <w:rPr>
                <w:rFonts w:hint="eastAsia" w:ascii="宋体" w:hAnsi="宋体" w:cs="宋体"/>
                <w:bCs/>
              </w:rPr>
              <w:t>低压出线柜</w:t>
            </w:r>
          </w:p>
        </w:tc>
        <w:tc>
          <w:tcPr>
            <w:tcW w:w="3615" w:type="dxa"/>
          </w:tcPr>
          <w:p>
            <w:pPr>
              <w:rPr>
                <w:rFonts w:ascii="宋体" w:hAnsi="宋体" w:cs="宋体"/>
                <w:bCs/>
              </w:rPr>
            </w:pPr>
            <w:r>
              <w:rPr>
                <w:rFonts w:hint="eastAsia" w:ascii="宋体" w:hAnsi="宋体" w:cs="宋体"/>
                <w:bCs/>
              </w:rPr>
              <w:t>检查刀开关、断路器、空气开关分、合闸操作是否正常，开关机械传动部加润滑油。检查一、二次接线有无烧坏，绝缘部位有无放电痕迹。检查指示灯、仪表是否正常。封堵柜内孔洞。检查柜门、锁有无损坏，柜门开、闭是否正常。清扫柜内积尘、蜘蛛网。</w:t>
            </w:r>
          </w:p>
        </w:tc>
        <w:tc>
          <w:tcPr>
            <w:tcW w:w="1740" w:type="dxa"/>
            <w:vAlign w:val="center"/>
          </w:tcPr>
          <w:p>
            <w:pPr>
              <w:jc w:val="center"/>
              <w:rPr>
                <w:rFonts w:ascii="宋体" w:hAnsi="宋体" w:cs="宋体"/>
                <w:bCs/>
              </w:rPr>
            </w:pPr>
            <w:r>
              <w:rPr>
                <w:rFonts w:hint="eastAsia" w:ascii="宋体" w:hAnsi="宋体" w:cs="宋体"/>
              </w:rPr>
              <w:t>发现故障，及时处理</w:t>
            </w:r>
          </w:p>
        </w:tc>
        <w:tc>
          <w:tcPr>
            <w:tcW w:w="1425" w:type="dxa"/>
          </w:tcPr>
          <w:p>
            <w:pP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Merge w:val="continue"/>
          </w:tcPr>
          <w:p>
            <w:pPr>
              <w:rPr>
                <w:rFonts w:ascii="宋体" w:hAnsi="宋体" w:cs="宋体"/>
              </w:rPr>
            </w:pPr>
          </w:p>
        </w:tc>
        <w:tc>
          <w:tcPr>
            <w:tcW w:w="1680" w:type="dxa"/>
            <w:vAlign w:val="center"/>
          </w:tcPr>
          <w:p>
            <w:pPr>
              <w:jc w:val="center"/>
              <w:rPr>
                <w:rFonts w:ascii="宋体" w:hAnsi="宋体" w:cs="宋体"/>
                <w:bCs/>
              </w:rPr>
            </w:pPr>
            <w:r>
              <w:rPr>
                <w:rFonts w:hint="eastAsia" w:ascii="宋体" w:hAnsi="宋体" w:cs="宋体"/>
                <w:bCs/>
              </w:rPr>
              <w:t>电容柜</w:t>
            </w:r>
          </w:p>
        </w:tc>
        <w:tc>
          <w:tcPr>
            <w:tcW w:w="3615" w:type="dxa"/>
          </w:tcPr>
          <w:p>
            <w:pPr>
              <w:rPr>
                <w:rFonts w:ascii="宋体" w:hAnsi="宋体" w:cs="宋体"/>
                <w:bCs/>
              </w:rPr>
            </w:pPr>
            <w:r>
              <w:rPr>
                <w:rFonts w:hint="eastAsia" w:ascii="宋体" w:hAnsi="宋体" w:cs="宋体"/>
                <w:bCs/>
              </w:rPr>
              <w:t>检查无功补偿装置是否正常。刀开关、接触器有、无故障。更换外观检查有无变形的电容。检查一、二次接线有无烧坏，绝缘部位有无放电痕迹。检查指示灯、仪表是否正常。封堵柜内孔洞。检查柜门、锁有无损坏，柜门开、闭是否正常。清扫柜内积尘、蜘蛛网。</w:t>
            </w:r>
          </w:p>
        </w:tc>
        <w:tc>
          <w:tcPr>
            <w:tcW w:w="1740" w:type="dxa"/>
            <w:vAlign w:val="center"/>
          </w:tcPr>
          <w:p>
            <w:pPr>
              <w:jc w:val="center"/>
              <w:rPr>
                <w:rFonts w:ascii="宋体" w:hAnsi="宋体" w:cs="宋体"/>
                <w:bCs/>
              </w:rPr>
            </w:pPr>
            <w:r>
              <w:rPr>
                <w:rFonts w:hint="eastAsia" w:ascii="宋体" w:hAnsi="宋体" w:cs="宋体"/>
              </w:rPr>
              <w:t>发现故障，及时处理</w:t>
            </w:r>
          </w:p>
        </w:tc>
        <w:tc>
          <w:tcPr>
            <w:tcW w:w="1425" w:type="dxa"/>
          </w:tcPr>
          <w:p>
            <w:pP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1320" w:type="dxa"/>
            <w:vMerge w:val="continue"/>
          </w:tcPr>
          <w:p>
            <w:pPr>
              <w:rPr>
                <w:rFonts w:ascii="宋体" w:hAnsi="宋体" w:cs="宋体"/>
              </w:rPr>
            </w:pPr>
          </w:p>
        </w:tc>
        <w:tc>
          <w:tcPr>
            <w:tcW w:w="1680" w:type="dxa"/>
            <w:vAlign w:val="center"/>
          </w:tcPr>
          <w:p>
            <w:pPr>
              <w:jc w:val="center"/>
              <w:rPr>
                <w:rFonts w:ascii="宋体" w:hAnsi="宋体" w:cs="宋体"/>
                <w:bCs/>
              </w:rPr>
            </w:pPr>
            <w:r>
              <w:rPr>
                <w:rFonts w:hint="eastAsia" w:ascii="宋体" w:hAnsi="宋体" w:cs="宋体"/>
                <w:bCs/>
              </w:rPr>
              <w:t>低压配电箱</w:t>
            </w:r>
          </w:p>
        </w:tc>
        <w:tc>
          <w:tcPr>
            <w:tcW w:w="3615" w:type="dxa"/>
          </w:tcPr>
          <w:p>
            <w:pPr>
              <w:rPr>
                <w:rFonts w:ascii="宋体" w:hAnsi="宋体" w:cs="宋体"/>
                <w:bCs/>
              </w:rPr>
            </w:pPr>
            <w:r>
              <w:rPr>
                <w:rFonts w:hint="eastAsia" w:ascii="宋体" w:hAnsi="宋体" w:cs="宋体"/>
                <w:bCs/>
              </w:rPr>
              <w:t>总进线开关分、合是否正常，检查一、二次线是否有发热、烧焦现象。清扫柜内积尘、蜘蛛网等。封堵孔洞。柜门、锁有无损，柜门开、闭是否正常。</w:t>
            </w:r>
          </w:p>
        </w:tc>
        <w:tc>
          <w:tcPr>
            <w:tcW w:w="1740" w:type="dxa"/>
            <w:vAlign w:val="center"/>
          </w:tcPr>
          <w:p>
            <w:pPr>
              <w:jc w:val="center"/>
              <w:rPr>
                <w:rFonts w:ascii="宋体" w:hAnsi="宋体" w:cs="宋体"/>
              </w:rPr>
            </w:pPr>
            <w:r>
              <w:rPr>
                <w:rFonts w:hint="eastAsia" w:ascii="宋体" w:hAnsi="宋体" w:cs="宋体"/>
              </w:rPr>
              <w:t>发现故障，及时处理</w:t>
            </w:r>
          </w:p>
        </w:tc>
        <w:tc>
          <w:tcPr>
            <w:tcW w:w="1425" w:type="dxa"/>
          </w:tcPr>
          <w:p>
            <w:pP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1320" w:type="dxa"/>
          </w:tcPr>
          <w:p>
            <w:pPr>
              <w:rPr>
                <w:rFonts w:ascii="宋体" w:hAnsi="宋体" w:cs="宋体"/>
              </w:rPr>
            </w:pPr>
          </w:p>
        </w:tc>
        <w:tc>
          <w:tcPr>
            <w:tcW w:w="1680" w:type="dxa"/>
          </w:tcPr>
          <w:p>
            <w:pPr>
              <w:jc w:val="center"/>
              <w:rPr>
                <w:rFonts w:ascii="宋体" w:hAnsi="宋体" w:cs="宋体"/>
                <w:bCs/>
              </w:rPr>
            </w:pPr>
          </w:p>
        </w:tc>
        <w:tc>
          <w:tcPr>
            <w:tcW w:w="3615" w:type="dxa"/>
          </w:tcPr>
          <w:p>
            <w:pPr>
              <w:rPr>
                <w:rFonts w:ascii="宋体" w:hAnsi="宋体" w:cs="宋体"/>
                <w:bCs/>
              </w:rPr>
            </w:pPr>
          </w:p>
        </w:tc>
        <w:tc>
          <w:tcPr>
            <w:tcW w:w="1740" w:type="dxa"/>
            <w:vAlign w:val="center"/>
          </w:tcPr>
          <w:p>
            <w:pPr>
              <w:jc w:val="center"/>
              <w:rPr>
                <w:rFonts w:ascii="宋体" w:hAnsi="宋体" w:cs="宋体"/>
              </w:rPr>
            </w:pPr>
          </w:p>
        </w:tc>
        <w:tc>
          <w:tcPr>
            <w:tcW w:w="1425" w:type="dxa"/>
          </w:tcPr>
          <w:p>
            <w:pPr>
              <w:rPr>
                <w:rFonts w:ascii="宋体" w:hAnsi="宋体" w:cs="宋体"/>
                <w:bCs/>
              </w:rPr>
            </w:pPr>
          </w:p>
        </w:tc>
      </w:tr>
    </w:tbl>
    <w:p>
      <w:pPr>
        <w:spacing w:line="360" w:lineRule="exact"/>
        <w:rPr>
          <w:rFonts w:ascii="宋体" w:hAnsi="宋体" w:cs="宋体"/>
          <w:b/>
        </w:rPr>
      </w:pPr>
    </w:p>
    <w:p>
      <w:pPr>
        <w:spacing w:line="360" w:lineRule="exact"/>
        <w:rPr>
          <w:rFonts w:ascii="宋体" w:hAnsi="宋体" w:cs="宋体"/>
          <w:b/>
        </w:rPr>
      </w:pPr>
    </w:p>
    <w:p>
      <w:pPr>
        <w:spacing w:line="360" w:lineRule="exact"/>
        <w:rPr>
          <w:rFonts w:ascii="宋体" w:hAnsi="宋体" w:cs="宋体"/>
          <w:b/>
        </w:rPr>
      </w:pPr>
    </w:p>
    <w:p>
      <w:pPr>
        <w:spacing w:line="360" w:lineRule="exact"/>
        <w:rPr>
          <w:rFonts w:ascii="宋体" w:hAnsi="宋体" w:cs="宋体"/>
          <w:b/>
        </w:rPr>
      </w:pPr>
    </w:p>
    <w:p>
      <w:pPr>
        <w:spacing w:line="360" w:lineRule="exact"/>
        <w:rPr>
          <w:rFonts w:ascii="宋体" w:hAnsi="宋体" w:cs="宋体"/>
          <w:b/>
        </w:rPr>
      </w:pPr>
    </w:p>
    <w:p>
      <w:pPr>
        <w:spacing w:line="360" w:lineRule="exact"/>
        <w:rPr>
          <w:rFonts w:ascii="宋体" w:hAnsi="宋体" w:cs="宋体"/>
          <w:b/>
        </w:rPr>
      </w:pPr>
    </w:p>
    <w:p>
      <w:pPr>
        <w:spacing w:line="360" w:lineRule="exact"/>
        <w:rPr>
          <w:rFonts w:ascii="宋体" w:hAnsi="宋体" w:cs="宋体"/>
          <w:b/>
        </w:rPr>
      </w:pPr>
    </w:p>
    <w:p>
      <w:pPr>
        <w:spacing w:line="360" w:lineRule="exact"/>
        <w:rPr>
          <w:rFonts w:ascii="宋体" w:hAnsi="宋体" w:cs="宋体"/>
          <w:b/>
        </w:rPr>
      </w:pPr>
    </w:p>
    <w:p>
      <w:pPr>
        <w:spacing w:line="360" w:lineRule="exact"/>
        <w:rPr>
          <w:rFonts w:ascii="宋体" w:hAnsi="宋体" w:cs="宋体"/>
          <w:b/>
        </w:rPr>
      </w:pPr>
    </w:p>
    <w:p>
      <w:pPr>
        <w:spacing w:line="360" w:lineRule="exact"/>
        <w:rPr>
          <w:rFonts w:ascii="宋体" w:hAnsi="宋体" w:cs="宋体"/>
          <w:b/>
        </w:rPr>
      </w:pPr>
    </w:p>
    <w:p>
      <w:pPr>
        <w:spacing w:line="360" w:lineRule="exact"/>
        <w:rPr>
          <w:rFonts w:ascii="宋体" w:hAnsi="宋体" w:cs="宋体"/>
          <w:b/>
        </w:rPr>
      </w:pPr>
    </w:p>
    <w:p>
      <w:pPr>
        <w:spacing w:line="360" w:lineRule="exact"/>
        <w:rPr>
          <w:rFonts w:ascii="宋体" w:hAnsi="宋体" w:cs="宋体"/>
          <w:b/>
        </w:rPr>
      </w:pPr>
    </w:p>
    <w:p>
      <w:pPr>
        <w:rPr>
          <w:rFonts w:ascii="宋体" w:hAnsi="宋体" w:cs="宋体"/>
          <w:highlight w:val="yellow"/>
        </w:rPr>
        <w:sectPr>
          <w:headerReference r:id="rId7" w:type="default"/>
          <w:footerReference r:id="rId8" w:type="default"/>
          <w:pgSz w:w="11906" w:h="16838"/>
          <w:pgMar w:top="1440" w:right="1800" w:bottom="1440" w:left="1800" w:header="851" w:footer="992" w:gutter="0"/>
          <w:pgNumType w:start="1"/>
          <w:cols w:space="425" w:num="1"/>
          <w:docGrid w:type="lines" w:linePitch="312" w:charSpace="0"/>
        </w:sectPr>
      </w:pPr>
    </w:p>
    <w:p>
      <w:pPr>
        <w:snapToGrid w:val="0"/>
        <w:spacing w:line="360" w:lineRule="exact"/>
        <w:rPr>
          <w:rFonts w:ascii="宋体" w:hAnsi="宋体" w:cs="宋体"/>
          <w:b/>
          <w:sz w:val="24"/>
          <w:szCs w:val="24"/>
        </w:rPr>
      </w:pPr>
      <w:r>
        <w:rPr>
          <w:rFonts w:hint="eastAsia" w:ascii="宋体" w:hAnsi="宋体" w:cs="宋体"/>
          <w:b/>
          <w:sz w:val="24"/>
          <w:szCs w:val="24"/>
        </w:rPr>
        <w:t>附件一：各校区变压器参数</w:t>
      </w:r>
    </w:p>
    <w:tbl>
      <w:tblPr>
        <w:tblStyle w:val="35"/>
        <w:tblpPr w:leftFromText="180" w:rightFromText="180" w:vertAnchor="text" w:horzAnchor="page" w:tblpXSpec="center" w:tblpY="170"/>
        <w:tblOverlap w:val="never"/>
        <w:tblW w:w="14591" w:type="dxa"/>
        <w:jc w:val="center"/>
        <w:tblLayout w:type="fixed"/>
        <w:tblCellMar>
          <w:top w:w="0" w:type="dxa"/>
          <w:left w:w="0" w:type="dxa"/>
          <w:bottom w:w="0" w:type="dxa"/>
          <w:right w:w="0" w:type="dxa"/>
        </w:tblCellMar>
      </w:tblPr>
      <w:tblGrid>
        <w:gridCol w:w="2089"/>
        <w:gridCol w:w="1760"/>
        <w:gridCol w:w="1597"/>
        <w:gridCol w:w="2096"/>
        <w:gridCol w:w="2527"/>
        <w:gridCol w:w="1034"/>
        <w:gridCol w:w="3488"/>
      </w:tblGrid>
      <w:tr>
        <w:tblPrEx>
          <w:tblCellMar>
            <w:top w:w="0" w:type="dxa"/>
            <w:left w:w="0" w:type="dxa"/>
            <w:bottom w:w="0" w:type="dxa"/>
            <w:right w:w="0" w:type="dxa"/>
          </w:tblCellMar>
        </w:tblPrEx>
        <w:trPr>
          <w:trHeight w:val="467" w:hRule="atLeast"/>
          <w:jc w:val="center"/>
        </w:trPr>
        <w:tc>
          <w:tcPr>
            <w:tcW w:w="14591" w:type="dxa"/>
            <w:gridSpan w:val="7"/>
            <w:vMerge w:val="restart"/>
            <w:shd w:val="clear" w:color="auto" w:fill="auto"/>
            <w:vAlign w:val="center"/>
          </w:tcPr>
          <w:p>
            <w:pPr>
              <w:widowControl/>
              <w:snapToGrid w:val="0"/>
              <w:jc w:val="center"/>
              <w:textAlignment w:val="center"/>
              <w:rPr>
                <w:rFonts w:ascii="宋体" w:hAnsi="宋体" w:cs="宋体"/>
                <w:color w:val="000000"/>
                <w:sz w:val="36"/>
                <w:szCs w:val="36"/>
              </w:rPr>
            </w:pPr>
            <w:r>
              <w:rPr>
                <w:rFonts w:hint="eastAsia" w:ascii="宋体" w:hAnsi="宋体" w:cs="宋体"/>
                <w:color w:val="000000"/>
                <w:kern w:val="0"/>
                <w:sz w:val="36"/>
                <w:szCs w:val="36"/>
                <w:lang w:bidi="ar"/>
              </w:rPr>
              <w:t>广西南宁技师学院各校区电力变压器参数表</w:t>
            </w:r>
          </w:p>
        </w:tc>
      </w:tr>
      <w:tr>
        <w:tblPrEx>
          <w:tblCellMar>
            <w:top w:w="0" w:type="dxa"/>
            <w:left w:w="0" w:type="dxa"/>
            <w:bottom w:w="0" w:type="dxa"/>
            <w:right w:w="0" w:type="dxa"/>
          </w:tblCellMar>
        </w:tblPrEx>
        <w:trPr>
          <w:trHeight w:val="312" w:hRule="atLeast"/>
          <w:jc w:val="center"/>
        </w:trPr>
        <w:tc>
          <w:tcPr>
            <w:tcW w:w="14591" w:type="dxa"/>
            <w:gridSpan w:val="7"/>
            <w:vMerge w:val="continue"/>
            <w:shd w:val="clear" w:color="auto" w:fill="auto"/>
            <w:vAlign w:val="center"/>
          </w:tcPr>
          <w:p>
            <w:pPr>
              <w:snapToGrid w:val="0"/>
              <w:jc w:val="center"/>
              <w:rPr>
                <w:rFonts w:ascii="宋体" w:hAnsi="宋体" w:cs="宋体"/>
                <w:color w:val="000000"/>
                <w:sz w:val="36"/>
                <w:szCs w:val="36"/>
              </w:rPr>
            </w:pPr>
          </w:p>
        </w:tc>
      </w:tr>
      <w:tr>
        <w:tblPrEx>
          <w:tblCellMar>
            <w:top w:w="0" w:type="dxa"/>
            <w:left w:w="0" w:type="dxa"/>
            <w:bottom w:w="0" w:type="dxa"/>
            <w:right w:w="0" w:type="dxa"/>
          </w:tblCellMar>
        </w:tblPrEx>
        <w:trPr>
          <w:trHeight w:val="312" w:hRule="atLeast"/>
          <w:jc w:val="center"/>
        </w:trPr>
        <w:tc>
          <w:tcPr>
            <w:tcW w:w="20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ascii="宋体" w:hAnsi="宋体" w:cs="宋体"/>
                <w:color w:val="000000"/>
                <w:sz w:val="20"/>
                <w:szCs w:val="20"/>
              </w:rPr>
            </w:pPr>
            <w:r>
              <w:rPr>
                <w:rFonts w:hint="eastAsia" w:ascii="宋体" w:hAnsi="宋体" w:cs="宋体"/>
                <w:color w:val="000000"/>
                <w:kern w:val="0"/>
                <w:sz w:val="20"/>
                <w:szCs w:val="20"/>
                <w:lang w:bidi="ar"/>
              </w:rPr>
              <w:t>校 区</w:t>
            </w: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额定容量（KVA）</w:t>
            </w:r>
          </w:p>
        </w:tc>
        <w:tc>
          <w:tcPr>
            <w:tcW w:w="1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户内或户外</w:t>
            </w:r>
          </w:p>
        </w:tc>
        <w:tc>
          <w:tcPr>
            <w:tcW w:w="2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类型（干式或油浸）</w:t>
            </w:r>
          </w:p>
        </w:tc>
        <w:tc>
          <w:tcPr>
            <w:tcW w:w="2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变压器（产品）型号</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w:t>
            </w:r>
          </w:p>
        </w:tc>
        <w:tc>
          <w:tcPr>
            <w:tcW w:w="3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地 址（备注）</w:t>
            </w:r>
          </w:p>
        </w:tc>
      </w:tr>
      <w:tr>
        <w:tblPrEx>
          <w:tblCellMar>
            <w:top w:w="0" w:type="dxa"/>
            <w:left w:w="0" w:type="dxa"/>
            <w:bottom w:w="0" w:type="dxa"/>
            <w:right w:w="0" w:type="dxa"/>
          </w:tblCellMar>
        </w:tblPrEx>
        <w:trPr>
          <w:trHeight w:val="259" w:hRule="atLeast"/>
          <w:jc w:val="center"/>
        </w:trPr>
        <w:tc>
          <w:tcPr>
            <w:tcW w:w="2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2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2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3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r>
      <w:tr>
        <w:tblPrEx>
          <w:tblCellMar>
            <w:top w:w="0" w:type="dxa"/>
            <w:left w:w="0" w:type="dxa"/>
            <w:bottom w:w="0" w:type="dxa"/>
            <w:right w:w="0" w:type="dxa"/>
          </w:tblCellMar>
        </w:tblPrEx>
        <w:trPr>
          <w:trHeight w:val="259" w:hRule="atLeast"/>
          <w:jc w:val="center"/>
        </w:trPr>
        <w:tc>
          <w:tcPr>
            <w:tcW w:w="2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2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2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3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r>
      <w:tr>
        <w:tblPrEx>
          <w:tblCellMar>
            <w:top w:w="0" w:type="dxa"/>
            <w:left w:w="0" w:type="dxa"/>
            <w:bottom w:w="0" w:type="dxa"/>
            <w:right w:w="0" w:type="dxa"/>
          </w:tblCellMar>
        </w:tblPrEx>
        <w:trPr>
          <w:trHeight w:val="312" w:hRule="atLeast"/>
          <w:jc w:val="center"/>
        </w:trPr>
        <w:tc>
          <w:tcPr>
            <w:tcW w:w="2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2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2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3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r>
      <w:tr>
        <w:tblPrEx>
          <w:tblCellMar>
            <w:top w:w="0" w:type="dxa"/>
            <w:left w:w="0" w:type="dxa"/>
            <w:bottom w:w="0" w:type="dxa"/>
            <w:right w:w="0" w:type="dxa"/>
          </w:tblCellMar>
        </w:tblPrEx>
        <w:trPr>
          <w:trHeight w:val="259" w:hRule="atLeast"/>
          <w:jc w:val="center"/>
        </w:trPr>
        <w:tc>
          <w:tcPr>
            <w:tcW w:w="20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一轻校区</w:t>
            </w: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250</w:t>
            </w:r>
          </w:p>
        </w:tc>
        <w:tc>
          <w:tcPr>
            <w:tcW w:w="1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户内</w:t>
            </w:r>
          </w:p>
        </w:tc>
        <w:tc>
          <w:tcPr>
            <w:tcW w:w="2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top"/>
              <w:rPr>
                <w:rFonts w:ascii="宋体" w:hAnsi="宋体" w:cs="宋体"/>
                <w:color w:val="000000"/>
                <w:sz w:val="20"/>
                <w:szCs w:val="20"/>
              </w:rPr>
            </w:pPr>
            <w:r>
              <w:rPr>
                <w:rFonts w:hint="eastAsia" w:ascii="宋体" w:hAnsi="宋体" w:cs="宋体"/>
                <w:color w:val="000000"/>
                <w:kern w:val="0"/>
                <w:sz w:val="20"/>
                <w:szCs w:val="20"/>
                <w:lang w:bidi="ar"/>
              </w:rPr>
              <w:t>油浸</w:t>
            </w:r>
          </w:p>
        </w:tc>
        <w:tc>
          <w:tcPr>
            <w:tcW w:w="2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WX00077</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南宁市西乡塘区明秀西路153号</w:t>
            </w:r>
          </w:p>
        </w:tc>
      </w:tr>
      <w:tr>
        <w:tblPrEx>
          <w:tblCellMar>
            <w:top w:w="0" w:type="dxa"/>
            <w:left w:w="0" w:type="dxa"/>
            <w:bottom w:w="0" w:type="dxa"/>
            <w:right w:w="0" w:type="dxa"/>
          </w:tblCellMar>
        </w:tblPrEx>
        <w:trPr>
          <w:trHeight w:val="259" w:hRule="atLeast"/>
          <w:jc w:val="center"/>
        </w:trPr>
        <w:tc>
          <w:tcPr>
            <w:tcW w:w="2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2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2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3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r>
      <w:tr>
        <w:tblPrEx>
          <w:tblCellMar>
            <w:top w:w="0" w:type="dxa"/>
            <w:left w:w="0" w:type="dxa"/>
            <w:bottom w:w="0" w:type="dxa"/>
            <w:right w:w="0" w:type="dxa"/>
          </w:tblCellMar>
        </w:tblPrEx>
        <w:trPr>
          <w:trHeight w:val="312" w:hRule="atLeast"/>
          <w:jc w:val="center"/>
        </w:trPr>
        <w:tc>
          <w:tcPr>
            <w:tcW w:w="2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2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2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3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r>
      <w:tr>
        <w:tblPrEx>
          <w:tblCellMar>
            <w:top w:w="0" w:type="dxa"/>
            <w:left w:w="0" w:type="dxa"/>
            <w:bottom w:w="0" w:type="dxa"/>
            <w:right w:w="0" w:type="dxa"/>
          </w:tblCellMar>
        </w:tblPrEx>
        <w:trPr>
          <w:trHeight w:val="259" w:hRule="atLeast"/>
          <w:jc w:val="center"/>
        </w:trPr>
        <w:tc>
          <w:tcPr>
            <w:tcW w:w="20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南技校区</w:t>
            </w: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315</w:t>
            </w:r>
          </w:p>
        </w:tc>
        <w:tc>
          <w:tcPr>
            <w:tcW w:w="1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户外</w:t>
            </w:r>
          </w:p>
        </w:tc>
        <w:tc>
          <w:tcPr>
            <w:tcW w:w="2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top"/>
              <w:rPr>
                <w:rFonts w:ascii="宋体" w:hAnsi="宋体" w:cs="宋体"/>
                <w:color w:val="000000"/>
                <w:sz w:val="20"/>
                <w:szCs w:val="20"/>
              </w:rPr>
            </w:pPr>
            <w:r>
              <w:rPr>
                <w:rFonts w:hint="eastAsia" w:ascii="宋体" w:hAnsi="宋体" w:cs="宋体"/>
                <w:color w:val="000000"/>
                <w:kern w:val="0"/>
                <w:sz w:val="20"/>
                <w:szCs w:val="20"/>
                <w:lang w:bidi="ar"/>
              </w:rPr>
              <w:t>油浸</w:t>
            </w:r>
          </w:p>
        </w:tc>
        <w:tc>
          <w:tcPr>
            <w:tcW w:w="2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SL7-315</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南宁市江南区五一西路5号</w:t>
            </w:r>
          </w:p>
        </w:tc>
      </w:tr>
      <w:tr>
        <w:tblPrEx>
          <w:tblCellMar>
            <w:top w:w="0" w:type="dxa"/>
            <w:left w:w="0" w:type="dxa"/>
            <w:bottom w:w="0" w:type="dxa"/>
            <w:right w:w="0" w:type="dxa"/>
          </w:tblCellMar>
        </w:tblPrEx>
        <w:trPr>
          <w:trHeight w:val="259" w:hRule="atLeast"/>
          <w:jc w:val="center"/>
        </w:trPr>
        <w:tc>
          <w:tcPr>
            <w:tcW w:w="2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2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2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3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r>
      <w:tr>
        <w:tblPrEx>
          <w:tblCellMar>
            <w:top w:w="0" w:type="dxa"/>
            <w:left w:w="0" w:type="dxa"/>
            <w:bottom w:w="0" w:type="dxa"/>
            <w:right w:w="0" w:type="dxa"/>
          </w:tblCellMar>
        </w:tblPrEx>
        <w:trPr>
          <w:trHeight w:val="312" w:hRule="atLeast"/>
          <w:jc w:val="center"/>
        </w:trPr>
        <w:tc>
          <w:tcPr>
            <w:tcW w:w="2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S400</w:t>
            </w:r>
          </w:p>
        </w:tc>
        <w:tc>
          <w:tcPr>
            <w:tcW w:w="1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户内</w:t>
            </w:r>
          </w:p>
        </w:tc>
        <w:tc>
          <w:tcPr>
            <w:tcW w:w="2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top"/>
              <w:rPr>
                <w:rFonts w:ascii="宋体" w:hAnsi="宋体" w:cs="宋体"/>
                <w:color w:val="000000"/>
                <w:sz w:val="20"/>
                <w:szCs w:val="20"/>
              </w:rPr>
            </w:pPr>
            <w:r>
              <w:rPr>
                <w:rFonts w:hint="eastAsia" w:ascii="宋体" w:hAnsi="宋体" w:cs="宋体"/>
                <w:color w:val="000000"/>
                <w:kern w:val="0"/>
                <w:sz w:val="20"/>
                <w:szCs w:val="20"/>
                <w:lang w:bidi="ar"/>
              </w:rPr>
              <w:t>油浸</w:t>
            </w:r>
          </w:p>
        </w:tc>
        <w:tc>
          <w:tcPr>
            <w:tcW w:w="2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S400</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r>
      <w:tr>
        <w:tblPrEx>
          <w:tblCellMar>
            <w:top w:w="0" w:type="dxa"/>
            <w:left w:w="0" w:type="dxa"/>
            <w:bottom w:w="0" w:type="dxa"/>
            <w:right w:w="0" w:type="dxa"/>
          </w:tblCellMar>
        </w:tblPrEx>
        <w:trPr>
          <w:trHeight w:val="259" w:hRule="atLeast"/>
          <w:jc w:val="center"/>
        </w:trPr>
        <w:tc>
          <w:tcPr>
            <w:tcW w:w="2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2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2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3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r>
      <w:tr>
        <w:tblPrEx>
          <w:tblCellMar>
            <w:top w:w="0" w:type="dxa"/>
            <w:left w:w="0" w:type="dxa"/>
            <w:bottom w:w="0" w:type="dxa"/>
            <w:right w:w="0" w:type="dxa"/>
          </w:tblCellMar>
        </w:tblPrEx>
        <w:trPr>
          <w:trHeight w:val="259" w:hRule="atLeast"/>
          <w:jc w:val="center"/>
        </w:trPr>
        <w:tc>
          <w:tcPr>
            <w:tcW w:w="2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2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2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3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r>
      <w:tr>
        <w:tblPrEx>
          <w:tblCellMar>
            <w:top w:w="0" w:type="dxa"/>
            <w:left w:w="0" w:type="dxa"/>
            <w:bottom w:w="0" w:type="dxa"/>
            <w:right w:w="0" w:type="dxa"/>
          </w:tblCellMar>
        </w:tblPrEx>
        <w:trPr>
          <w:trHeight w:val="259" w:hRule="atLeast"/>
          <w:jc w:val="center"/>
        </w:trPr>
        <w:tc>
          <w:tcPr>
            <w:tcW w:w="20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新校区</w:t>
            </w:r>
          </w:p>
        </w:tc>
        <w:tc>
          <w:tcPr>
            <w:tcW w:w="1760" w:type="dxa"/>
            <w:vMerge w:val="restart"/>
            <w:tcBorders>
              <w:top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c>
          <w:tcPr>
            <w:tcW w:w="1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户内</w:t>
            </w:r>
          </w:p>
        </w:tc>
        <w:tc>
          <w:tcPr>
            <w:tcW w:w="2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干式</w:t>
            </w:r>
          </w:p>
        </w:tc>
        <w:tc>
          <w:tcPr>
            <w:tcW w:w="2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SCB11-500/10</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南宁市西乡塘区大学西路157号</w:t>
            </w:r>
          </w:p>
        </w:tc>
      </w:tr>
      <w:tr>
        <w:tblPrEx>
          <w:tblCellMar>
            <w:top w:w="0" w:type="dxa"/>
            <w:left w:w="0" w:type="dxa"/>
            <w:bottom w:w="0" w:type="dxa"/>
            <w:right w:w="0" w:type="dxa"/>
          </w:tblCellMar>
        </w:tblPrEx>
        <w:trPr>
          <w:trHeight w:val="259" w:hRule="atLeast"/>
          <w:jc w:val="center"/>
        </w:trPr>
        <w:tc>
          <w:tcPr>
            <w:tcW w:w="2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1760" w:type="dxa"/>
            <w:vMerge w:val="continue"/>
            <w:tcBorders>
              <w:top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2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2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3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r>
      <w:tr>
        <w:tblPrEx>
          <w:tblCellMar>
            <w:top w:w="0" w:type="dxa"/>
            <w:left w:w="0" w:type="dxa"/>
            <w:bottom w:w="0" w:type="dxa"/>
            <w:right w:w="0" w:type="dxa"/>
          </w:tblCellMar>
        </w:tblPrEx>
        <w:trPr>
          <w:trHeight w:val="259" w:hRule="atLeast"/>
          <w:jc w:val="center"/>
        </w:trPr>
        <w:tc>
          <w:tcPr>
            <w:tcW w:w="2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1760" w:type="dxa"/>
            <w:vMerge w:val="restart"/>
            <w:tcBorders>
              <w:top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800</w:t>
            </w:r>
          </w:p>
        </w:tc>
        <w:tc>
          <w:tcPr>
            <w:tcW w:w="1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户内</w:t>
            </w:r>
          </w:p>
        </w:tc>
        <w:tc>
          <w:tcPr>
            <w:tcW w:w="2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干式</w:t>
            </w:r>
          </w:p>
        </w:tc>
        <w:tc>
          <w:tcPr>
            <w:tcW w:w="2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SCB11-800/10</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r>
      <w:tr>
        <w:tblPrEx>
          <w:tblCellMar>
            <w:top w:w="0" w:type="dxa"/>
            <w:left w:w="0" w:type="dxa"/>
            <w:bottom w:w="0" w:type="dxa"/>
            <w:right w:w="0" w:type="dxa"/>
          </w:tblCellMar>
        </w:tblPrEx>
        <w:trPr>
          <w:trHeight w:val="259" w:hRule="atLeast"/>
          <w:jc w:val="center"/>
        </w:trPr>
        <w:tc>
          <w:tcPr>
            <w:tcW w:w="2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1760" w:type="dxa"/>
            <w:vMerge w:val="continue"/>
            <w:tcBorders>
              <w:top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2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2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3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r>
      <w:tr>
        <w:tblPrEx>
          <w:tblCellMar>
            <w:top w:w="0" w:type="dxa"/>
            <w:left w:w="0" w:type="dxa"/>
            <w:bottom w:w="0" w:type="dxa"/>
            <w:right w:w="0" w:type="dxa"/>
          </w:tblCellMar>
        </w:tblPrEx>
        <w:trPr>
          <w:trHeight w:val="259" w:hRule="atLeast"/>
          <w:jc w:val="center"/>
        </w:trPr>
        <w:tc>
          <w:tcPr>
            <w:tcW w:w="2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1760" w:type="dxa"/>
            <w:vMerge w:val="restart"/>
            <w:tcBorders>
              <w:top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1000</w:t>
            </w:r>
          </w:p>
        </w:tc>
        <w:tc>
          <w:tcPr>
            <w:tcW w:w="1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户内</w:t>
            </w:r>
          </w:p>
        </w:tc>
        <w:tc>
          <w:tcPr>
            <w:tcW w:w="2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干式</w:t>
            </w:r>
          </w:p>
        </w:tc>
        <w:tc>
          <w:tcPr>
            <w:tcW w:w="2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SCB11-1000/10</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3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r>
      <w:tr>
        <w:tblPrEx>
          <w:tblCellMar>
            <w:top w:w="0" w:type="dxa"/>
            <w:left w:w="0" w:type="dxa"/>
            <w:bottom w:w="0" w:type="dxa"/>
            <w:right w:w="0" w:type="dxa"/>
          </w:tblCellMar>
        </w:tblPrEx>
        <w:trPr>
          <w:trHeight w:val="259" w:hRule="atLeast"/>
          <w:jc w:val="center"/>
        </w:trPr>
        <w:tc>
          <w:tcPr>
            <w:tcW w:w="2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1760" w:type="dxa"/>
            <w:vMerge w:val="continue"/>
            <w:tcBorders>
              <w:top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2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2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3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r>
      <w:tr>
        <w:tblPrEx>
          <w:tblCellMar>
            <w:top w:w="0" w:type="dxa"/>
            <w:left w:w="0" w:type="dxa"/>
            <w:bottom w:w="0" w:type="dxa"/>
            <w:right w:w="0" w:type="dxa"/>
          </w:tblCellMar>
        </w:tblPrEx>
        <w:trPr>
          <w:trHeight w:val="259" w:hRule="atLeast"/>
          <w:jc w:val="center"/>
        </w:trPr>
        <w:tc>
          <w:tcPr>
            <w:tcW w:w="2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1760" w:type="dxa"/>
            <w:vMerge w:val="restart"/>
            <w:tcBorders>
              <w:top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1600</w:t>
            </w:r>
          </w:p>
        </w:tc>
        <w:tc>
          <w:tcPr>
            <w:tcW w:w="1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户内</w:t>
            </w:r>
          </w:p>
        </w:tc>
        <w:tc>
          <w:tcPr>
            <w:tcW w:w="2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干式</w:t>
            </w:r>
          </w:p>
        </w:tc>
        <w:tc>
          <w:tcPr>
            <w:tcW w:w="2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SCB11-1600/10</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r>
      <w:tr>
        <w:tblPrEx>
          <w:tblCellMar>
            <w:top w:w="0" w:type="dxa"/>
            <w:left w:w="0" w:type="dxa"/>
            <w:bottom w:w="0" w:type="dxa"/>
            <w:right w:w="0" w:type="dxa"/>
          </w:tblCellMar>
        </w:tblPrEx>
        <w:trPr>
          <w:trHeight w:val="259" w:hRule="atLeast"/>
          <w:jc w:val="center"/>
        </w:trPr>
        <w:tc>
          <w:tcPr>
            <w:tcW w:w="2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1760" w:type="dxa"/>
            <w:vMerge w:val="continue"/>
            <w:tcBorders>
              <w:top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2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2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3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r>
      <w:tr>
        <w:tblPrEx>
          <w:tblCellMar>
            <w:top w:w="0" w:type="dxa"/>
            <w:left w:w="0" w:type="dxa"/>
            <w:bottom w:w="0" w:type="dxa"/>
            <w:right w:w="0" w:type="dxa"/>
          </w:tblCellMar>
        </w:tblPrEx>
        <w:trPr>
          <w:trHeight w:val="259" w:hRule="atLeast"/>
          <w:jc w:val="center"/>
        </w:trPr>
        <w:tc>
          <w:tcPr>
            <w:tcW w:w="2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1760" w:type="dxa"/>
            <w:vMerge w:val="restart"/>
            <w:tcBorders>
              <w:top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1000</w:t>
            </w:r>
          </w:p>
        </w:tc>
        <w:tc>
          <w:tcPr>
            <w:tcW w:w="1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户内</w:t>
            </w:r>
          </w:p>
        </w:tc>
        <w:tc>
          <w:tcPr>
            <w:tcW w:w="2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干式</w:t>
            </w:r>
          </w:p>
        </w:tc>
        <w:tc>
          <w:tcPr>
            <w:tcW w:w="2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SCB11-1000/10.5</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r>
      <w:tr>
        <w:tblPrEx>
          <w:tblCellMar>
            <w:top w:w="0" w:type="dxa"/>
            <w:left w:w="0" w:type="dxa"/>
            <w:bottom w:w="0" w:type="dxa"/>
            <w:right w:w="0" w:type="dxa"/>
          </w:tblCellMar>
        </w:tblPrEx>
        <w:trPr>
          <w:trHeight w:val="259" w:hRule="atLeast"/>
          <w:jc w:val="center"/>
        </w:trPr>
        <w:tc>
          <w:tcPr>
            <w:tcW w:w="2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1760" w:type="dxa"/>
            <w:vMerge w:val="continue"/>
            <w:tcBorders>
              <w:top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2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2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3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r>
      <w:tr>
        <w:tblPrEx>
          <w:tblCellMar>
            <w:top w:w="0" w:type="dxa"/>
            <w:left w:w="0" w:type="dxa"/>
            <w:bottom w:w="0" w:type="dxa"/>
            <w:right w:w="0" w:type="dxa"/>
          </w:tblCellMar>
        </w:tblPrEx>
        <w:trPr>
          <w:trHeight w:val="259" w:hRule="atLeast"/>
          <w:jc w:val="center"/>
        </w:trPr>
        <w:tc>
          <w:tcPr>
            <w:tcW w:w="2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800</w:t>
            </w:r>
          </w:p>
        </w:tc>
        <w:tc>
          <w:tcPr>
            <w:tcW w:w="1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户外</w:t>
            </w:r>
          </w:p>
        </w:tc>
        <w:tc>
          <w:tcPr>
            <w:tcW w:w="2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干式</w:t>
            </w:r>
          </w:p>
        </w:tc>
        <w:tc>
          <w:tcPr>
            <w:tcW w:w="2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SCB13-800/10.5</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r>
      <w:tr>
        <w:tblPrEx>
          <w:tblCellMar>
            <w:top w:w="0" w:type="dxa"/>
            <w:left w:w="0" w:type="dxa"/>
            <w:bottom w:w="0" w:type="dxa"/>
            <w:right w:w="0" w:type="dxa"/>
          </w:tblCellMar>
        </w:tblPrEx>
        <w:trPr>
          <w:trHeight w:val="312" w:hRule="atLeast"/>
          <w:jc w:val="center"/>
        </w:trPr>
        <w:tc>
          <w:tcPr>
            <w:tcW w:w="2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2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2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3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r>
      <w:tr>
        <w:tblPrEx>
          <w:tblCellMar>
            <w:top w:w="0" w:type="dxa"/>
            <w:left w:w="0" w:type="dxa"/>
            <w:bottom w:w="0" w:type="dxa"/>
            <w:right w:w="0" w:type="dxa"/>
          </w:tblCellMar>
        </w:tblPrEx>
        <w:trPr>
          <w:trHeight w:val="312" w:hRule="atLeast"/>
          <w:jc w:val="center"/>
        </w:trPr>
        <w:tc>
          <w:tcPr>
            <w:tcW w:w="20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合计台数</w:t>
            </w: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1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2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2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18</w:t>
            </w:r>
          </w:p>
        </w:tc>
        <w:tc>
          <w:tcPr>
            <w:tcW w:w="3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color w:val="000000"/>
                <w:sz w:val="20"/>
                <w:szCs w:val="20"/>
              </w:rPr>
            </w:pPr>
          </w:p>
        </w:tc>
      </w:tr>
      <w:tr>
        <w:tblPrEx>
          <w:tblCellMar>
            <w:top w:w="0" w:type="dxa"/>
            <w:left w:w="0" w:type="dxa"/>
            <w:bottom w:w="0" w:type="dxa"/>
            <w:right w:w="0" w:type="dxa"/>
          </w:tblCellMar>
        </w:tblPrEx>
        <w:trPr>
          <w:trHeight w:val="312" w:hRule="atLeast"/>
          <w:jc w:val="center"/>
        </w:trPr>
        <w:tc>
          <w:tcPr>
            <w:tcW w:w="2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bl>
    <w:p>
      <w:pPr>
        <w:rPr>
          <w:rFonts w:ascii="宋体" w:hAnsi="宋体" w:cs="宋体"/>
          <w:highlight w:val="yellow"/>
        </w:rPr>
        <w:sectPr>
          <w:pgSz w:w="16838" w:h="11906" w:orient="landscape"/>
          <w:pgMar w:top="0" w:right="1440" w:bottom="0" w:left="1440" w:header="851" w:footer="992" w:gutter="0"/>
          <w:cols w:space="0" w:num="1"/>
          <w:rtlGutter w:val="0"/>
          <w:docGrid w:type="lines" w:linePitch="312" w:charSpace="0"/>
        </w:sectPr>
      </w:pPr>
    </w:p>
    <w:p>
      <w:pPr>
        <w:tabs>
          <w:tab w:val="left" w:pos="420"/>
          <w:tab w:val="left" w:pos="540"/>
          <w:tab w:val="left" w:pos="574"/>
        </w:tabs>
        <w:spacing w:line="360" w:lineRule="auto"/>
        <w:ind w:firstLine="211" w:firstLineChars="100"/>
        <w:outlineLvl w:val="0"/>
        <w:rPr>
          <w:rFonts w:ascii="宋体" w:hAnsi="宋体" w:cs="宋体"/>
          <w:b/>
          <w:bCs/>
        </w:rPr>
      </w:pPr>
      <w:r>
        <w:rPr>
          <w:rFonts w:ascii="宋体" w:hAnsi="宋体" w:cs="宋体"/>
          <w:b/>
          <w:bCs/>
        </w:rPr>
        <w:t>五、</w:t>
      </w:r>
      <w:r>
        <w:rPr>
          <w:rFonts w:hint="eastAsia" w:ascii="宋体" w:hAnsi="宋体" w:cs="宋体"/>
          <w:b/>
          <w:bCs/>
        </w:rPr>
        <w:t>商务要求</w:t>
      </w:r>
    </w:p>
    <w:p>
      <w:pPr>
        <w:spacing w:line="500" w:lineRule="exact"/>
        <w:jc w:val="left"/>
        <w:rPr>
          <w:rFonts w:ascii="宋体" w:hAnsi="宋体" w:cs="宋体"/>
          <w:sz w:val="24"/>
        </w:rPr>
      </w:pPr>
      <w:r>
        <w:rPr>
          <w:rFonts w:hint="eastAsia" w:ascii="宋体" w:hAnsi="宋体" w:cs="宋体"/>
          <w:sz w:val="24"/>
        </w:rPr>
        <w:t>▲（一）合同签订期：自中标通知书发出之日起</w:t>
      </w:r>
      <w:r>
        <w:rPr>
          <w:rFonts w:hint="eastAsia" w:ascii="宋体" w:hAnsi="宋体" w:cs="宋体"/>
          <w:sz w:val="24"/>
          <w:u w:val="single"/>
        </w:rPr>
        <w:t xml:space="preserve"> 7</w:t>
      </w:r>
      <w:r>
        <w:rPr>
          <w:rFonts w:hint="eastAsia" w:ascii="宋体" w:hAnsi="宋体" w:cs="宋体"/>
          <w:sz w:val="24"/>
        </w:rPr>
        <w:t>个工作日内。</w:t>
      </w:r>
    </w:p>
    <w:p>
      <w:pPr>
        <w:spacing w:line="500" w:lineRule="exact"/>
        <w:jc w:val="left"/>
        <w:rPr>
          <w:rFonts w:ascii="宋体" w:hAnsi="宋体" w:cs="宋体"/>
          <w:sz w:val="24"/>
        </w:rPr>
      </w:pPr>
      <w:r>
        <w:rPr>
          <w:rFonts w:hint="eastAsia" w:ascii="宋体" w:hAnsi="宋体" w:cs="宋体"/>
          <w:sz w:val="24"/>
        </w:rPr>
        <w:t>▲（二）提交服务成果时间：自合同签订之日起，服务期限壹年。</w:t>
      </w:r>
    </w:p>
    <w:p>
      <w:pPr>
        <w:spacing w:line="500" w:lineRule="exact"/>
        <w:jc w:val="left"/>
        <w:rPr>
          <w:rFonts w:ascii="宋体" w:hAnsi="宋体"/>
          <w:sz w:val="24"/>
        </w:rPr>
      </w:pPr>
      <w:r>
        <w:rPr>
          <w:rFonts w:hint="eastAsia" w:ascii="宋体" w:hAnsi="宋体" w:cs="宋体"/>
          <w:sz w:val="24"/>
        </w:rPr>
        <w:t>（三）</w:t>
      </w:r>
      <w:r>
        <w:rPr>
          <w:rFonts w:hint="eastAsia" w:ascii="宋体" w:hAnsi="宋体"/>
          <w:sz w:val="24"/>
        </w:rPr>
        <w:t>提交服务成果地点：南宁市采购人指定地点。</w:t>
      </w:r>
    </w:p>
    <w:p>
      <w:pPr>
        <w:spacing w:line="500" w:lineRule="exact"/>
        <w:jc w:val="left"/>
        <w:rPr>
          <w:rFonts w:ascii="宋体" w:hAnsi="宋体" w:cs="宋体"/>
          <w:sz w:val="24"/>
        </w:rPr>
      </w:pPr>
      <w:r>
        <w:rPr>
          <w:rFonts w:hint="eastAsia" w:ascii="宋体" w:hAnsi="宋体" w:cs="宋体"/>
          <w:sz w:val="24"/>
        </w:rPr>
        <w:t>（四）售后服务要求：</w:t>
      </w:r>
    </w:p>
    <w:p>
      <w:pPr>
        <w:spacing w:line="500" w:lineRule="exact"/>
        <w:jc w:val="left"/>
        <w:rPr>
          <w:rFonts w:ascii="宋体" w:hAnsi="宋体" w:cs="宋体"/>
          <w:kern w:val="0"/>
          <w:sz w:val="24"/>
        </w:rPr>
      </w:pPr>
      <w:r>
        <w:rPr>
          <w:rFonts w:hint="eastAsia" w:ascii="宋体" w:hAnsi="宋体" w:cs="宋体"/>
          <w:sz w:val="24"/>
        </w:rPr>
        <w:t>▲1.质量保证期</w:t>
      </w:r>
      <w:r>
        <w:rPr>
          <w:rFonts w:hint="eastAsia" w:ascii="宋体" w:hAnsi="宋体" w:cs="宋体"/>
          <w:sz w:val="24"/>
          <w:u w:val="single"/>
        </w:rPr>
        <w:t xml:space="preserve"> 壹 </w:t>
      </w:r>
      <w:r>
        <w:rPr>
          <w:rFonts w:hint="eastAsia" w:ascii="宋体" w:hAnsi="宋体" w:cs="宋体"/>
          <w:sz w:val="24"/>
        </w:rPr>
        <w:t>年</w:t>
      </w:r>
      <w:r>
        <w:rPr>
          <w:rFonts w:hint="eastAsia" w:ascii="宋体" w:hAnsi="宋体" w:cs="宋体"/>
          <w:kern w:val="0"/>
          <w:sz w:val="24"/>
        </w:rPr>
        <w:t>（自交货并验收合格之日起计，货物</w:t>
      </w:r>
      <w:r>
        <w:rPr>
          <w:rFonts w:ascii="宋体" w:hAnsi="宋体" w:cs="宋体"/>
          <w:kern w:val="0"/>
          <w:sz w:val="24"/>
        </w:rPr>
        <w:t>一览表中</w:t>
      </w:r>
      <w:r>
        <w:rPr>
          <w:rFonts w:hint="eastAsia" w:ascii="宋体" w:hAnsi="宋体" w:cs="宋体"/>
          <w:kern w:val="0"/>
          <w:sz w:val="24"/>
        </w:rPr>
        <w:t>如</w:t>
      </w:r>
      <w:r>
        <w:rPr>
          <w:rFonts w:ascii="宋体" w:hAnsi="宋体" w:cs="宋体"/>
          <w:kern w:val="0"/>
          <w:sz w:val="24"/>
        </w:rPr>
        <w:t>有</w:t>
      </w:r>
      <w:r>
        <w:rPr>
          <w:rFonts w:hint="eastAsia" w:ascii="宋体" w:hAnsi="宋体" w:cs="宋体"/>
          <w:kern w:val="0"/>
          <w:sz w:val="24"/>
        </w:rPr>
        <w:t>列</w:t>
      </w:r>
      <w:r>
        <w:rPr>
          <w:rFonts w:ascii="宋体" w:hAnsi="宋体" w:cs="宋体"/>
          <w:kern w:val="0"/>
          <w:sz w:val="24"/>
        </w:rPr>
        <w:t>出</w:t>
      </w:r>
      <w:r>
        <w:rPr>
          <w:rFonts w:hint="eastAsia" w:ascii="宋体" w:hAnsi="宋体" w:cs="宋体"/>
          <w:kern w:val="0"/>
          <w:sz w:val="24"/>
        </w:rPr>
        <w:t>则按表</w:t>
      </w:r>
      <w:r>
        <w:rPr>
          <w:rFonts w:ascii="宋体" w:hAnsi="宋体" w:cs="宋体"/>
          <w:kern w:val="0"/>
          <w:sz w:val="24"/>
        </w:rPr>
        <w:t>中</w:t>
      </w:r>
      <w:r>
        <w:rPr>
          <w:rFonts w:hint="eastAsia" w:ascii="宋体" w:hAnsi="宋体" w:cs="宋体"/>
          <w:kern w:val="0"/>
          <w:sz w:val="24"/>
        </w:rPr>
        <w:t>的</w:t>
      </w:r>
      <w:r>
        <w:rPr>
          <w:rFonts w:ascii="宋体" w:hAnsi="宋体" w:cs="宋体"/>
          <w:kern w:val="0"/>
          <w:sz w:val="24"/>
        </w:rPr>
        <w:t>要</w:t>
      </w:r>
      <w:r>
        <w:rPr>
          <w:rFonts w:hint="eastAsia" w:ascii="宋体" w:hAnsi="宋体" w:cs="宋体"/>
          <w:kern w:val="0"/>
          <w:sz w:val="24"/>
        </w:rPr>
        <w:t>求实施）。</w:t>
      </w:r>
    </w:p>
    <w:p>
      <w:pPr>
        <w:pStyle w:val="2"/>
        <w:ind w:firstLine="0" w:firstLineChars="0"/>
      </w:pPr>
      <w:r>
        <w:rPr>
          <w:rFonts w:hint="eastAsia" w:ascii="宋体" w:hAnsi="宋体" w:cs="宋体"/>
          <w:sz w:val="24"/>
        </w:rPr>
        <w:t>▲</w:t>
      </w:r>
      <w:r>
        <w:rPr>
          <w:rFonts w:hint="eastAsia" w:ascii="宋体" w:hAnsi="宋体" w:cs="宋体"/>
          <w:sz w:val="24"/>
          <w:szCs w:val="24"/>
        </w:rPr>
        <w:t>2.</w:t>
      </w:r>
      <w:r>
        <w:rPr>
          <w:rFonts w:hint="eastAsia" w:ascii="宋体" w:hAnsi="宋体" w:cs="宋体"/>
          <w:color w:val="000000"/>
          <w:sz w:val="24"/>
          <w:szCs w:val="24"/>
        </w:rPr>
        <w:t>可提供24小时值班故障抢修服务。</w:t>
      </w:r>
    </w:p>
    <w:p>
      <w:pPr>
        <w:widowControl/>
        <w:spacing w:line="500" w:lineRule="exact"/>
        <w:jc w:val="left"/>
        <w:rPr>
          <w:rFonts w:ascii="宋体" w:hAnsi="宋体" w:cs="宋体"/>
          <w:kern w:val="0"/>
          <w:sz w:val="24"/>
        </w:rPr>
      </w:pPr>
      <w:r>
        <w:rPr>
          <w:rFonts w:hint="eastAsia" w:ascii="宋体" w:hAnsi="宋体" w:cs="宋体"/>
          <w:kern w:val="0"/>
          <w:sz w:val="24"/>
        </w:rPr>
        <w:t>（五）其他要求：</w:t>
      </w:r>
    </w:p>
    <w:p>
      <w:pPr>
        <w:widowControl/>
        <w:spacing w:line="500" w:lineRule="exact"/>
        <w:jc w:val="left"/>
        <w:rPr>
          <w:rFonts w:ascii="宋体" w:hAnsi="宋体" w:cs="宋体"/>
          <w:kern w:val="0"/>
          <w:sz w:val="24"/>
        </w:rPr>
      </w:pPr>
      <w:r>
        <w:rPr>
          <w:rFonts w:hint="eastAsia" w:ascii="宋体" w:hAnsi="宋体" w:cs="宋体"/>
          <w:sz w:val="24"/>
          <w:szCs w:val="22"/>
        </w:rPr>
        <w:t>▲1.</w:t>
      </w:r>
      <w:r>
        <w:rPr>
          <w:rFonts w:hint="eastAsia" w:ascii="宋体" w:hAnsi="宋体" w:cs="宋体"/>
          <w:kern w:val="0"/>
          <w:sz w:val="24"/>
        </w:rPr>
        <w:t>投标报价必须含以下部分，包括：</w:t>
      </w:r>
    </w:p>
    <w:p>
      <w:pPr>
        <w:widowControl/>
        <w:spacing w:before="100" w:beforeAutospacing="1" w:after="100" w:afterAutospacing="1" w:line="320" w:lineRule="exact"/>
        <w:jc w:val="left"/>
        <w:rPr>
          <w:rFonts w:ascii="宋体" w:hAnsi="宋体"/>
          <w:sz w:val="24"/>
        </w:rPr>
      </w:pPr>
      <w:r>
        <w:rPr>
          <w:rFonts w:hint="eastAsia" w:ascii="宋体" w:hAnsi="宋体"/>
          <w:sz w:val="24"/>
        </w:rPr>
        <w:t>（1）服务的价格；</w:t>
      </w:r>
    </w:p>
    <w:p>
      <w:pPr>
        <w:widowControl/>
        <w:spacing w:before="100" w:beforeAutospacing="1" w:after="100" w:afterAutospacing="1" w:line="320" w:lineRule="exact"/>
        <w:jc w:val="left"/>
        <w:rPr>
          <w:rFonts w:ascii="宋体" w:hAnsi="宋体"/>
          <w:sz w:val="24"/>
        </w:rPr>
      </w:pPr>
      <w:r>
        <w:rPr>
          <w:rFonts w:hint="eastAsia" w:ascii="宋体" w:hAnsi="宋体"/>
          <w:sz w:val="24"/>
        </w:rPr>
        <w:t>（2）必要的保险费用和各项税金；</w:t>
      </w:r>
    </w:p>
    <w:p>
      <w:pPr>
        <w:widowControl/>
        <w:spacing w:before="100" w:beforeAutospacing="1" w:after="100" w:afterAutospacing="1" w:line="320" w:lineRule="exact"/>
        <w:jc w:val="left"/>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（3）运输、装卸、更换、调试、培训、技术支持、售后服务、更新升级、值班人员办公场所租赁等费用。</w:t>
      </w:r>
    </w:p>
    <w:p>
      <w:pPr>
        <w:pStyle w:val="2"/>
        <w:ind w:firstLine="0" w:firstLineChars="0"/>
        <w:rPr>
          <w:color w:val="FF0000"/>
          <w:sz w:val="24"/>
        </w:rPr>
      </w:pPr>
      <w:r>
        <w:rPr>
          <w:rFonts w:hint="eastAsia" w:ascii="宋体" w:hAnsi="宋体" w:cs="宋体"/>
          <w:color w:val="FF0000"/>
          <w:sz w:val="24"/>
        </w:rPr>
        <w:t>▲2.付款方式：</w:t>
      </w:r>
      <w:r>
        <w:rPr>
          <w:rFonts w:hint="eastAsia"/>
          <w:color w:val="FF0000"/>
          <w:sz w:val="24"/>
        </w:rPr>
        <w:t xml:space="preserve"> </w:t>
      </w:r>
    </w:p>
    <w:p>
      <w:pPr>
        <w:pStyle w:val="2"/>
        <w:ind w:firstLine="480" w:firstLineChars="200"/>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合同维修维护费用分</w:t>
      </w:r>
      <w:r>
        <w:rPr>
          <w:rFonts w:hint="eastAsia" w:asciiTheme="minorEastAsia" w:hAnsiTheme="minorEastAsia" w:eastAsiaTheme="minorEastAsia" w:cstheme="minorEastAsia"/>
          <w:color w:val="FF0000"/>
          <w:sz w:val="24"/>
          <w:szCs w:val="24"/>
          <w:lang w:val="en-US" w:eastAsia="zh-CN"/>
        </w:rPr>
        <w:t>两</w:t>
      </w:r>
      <w:r>
        <w:rPr>
          <w:rFonts w:hint="eastAsia" w:asciiTheme="minorEastAsia" w:hAnsiTheme="minorEastAsia" w:eastAsiaTheme="minorEastAsia" w:cstheme="minorEastAsia"/>
          <w:color w:val="FF0000"/>
          <w:sz w:val="24"/>
          <w:szCs w:val="24"/>
        </w:rPr>
        <w:t>期支付：</w:t>
      </w:r>
    </w:p>
    <w:p>
      <w:pPr>
        <w:pStyle w:val="2"/>
        <w:ind w:firstLine="240"/>
        <w:rPr>
          <w:rFonts w:hint="eastAsia"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color w:val="FF0000"/>
          <w:sz w:val="24"/>
          <w:szCs w:val="24"/>
        </w:rPr>
        <w:t xml:space="preserve">  第一期：合同签订后15个工作日内，乙方将发票交甲方向市财政局提交用款申请批复后支付合同款。鉴于本合同款项系使用财政资金支付，甲方在验收合格后向财政部门申请付款，既视为甲方已履行支付义务，具体付款时间以财政部门批复并支付为准</w:t>
      </w:r>
      <w:r>
        <w:rPr>
          <w:rFonts w:hint="eastAsia" w:asciiTheme="minorEastAsia" w:hAnsiTheme="minorEastAsia" w:eastAsiaTheme="minorEastAsia" w:cstheme="minorEastAsia"/>
          <w:color w:val="FF0000"/>
          <w:sz w:val="24"/>
          <w:szCs w:val="24"/>
          <w:lang w:val="en-US" w:eastAsia="zh-CN"/>
        </w:rPr>
        <w:t>,</w:t>
      </w:r>
      <w:r>
        <w:rPr>
          <w:rFonts w:hint="eastAsia" w:asciiTheme="minorEastAsia" w:hAnsiTheme="minorEastAsia" w:eastAsiaTheme="minorEastAsia" w:cstheme="minorEastAsia"/>
          <w:color w:val="FF0000"/>
          <w:sz w:val="24"/>
          <w:szCs w:val="24"/>
        </w:rPr>
        <w:t>向乙方支付合同款的50%；</w:t>
      </w:r>
    </w:p>
    <w:p>
      <w:pPr>
        <w:pStyle w:val="2"/>
        <w:ind w:firstLine="240"/>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 xml:space="preserve">  第二期：合同签订后第十二个月内，乙方将发票交甲方向市财政局提交用款申请批复后支付合同款。鉴于本合同款项系使用财政资金支付，甲方在验收合格后向财政部门申请付款，既视为甲方已履行支付义务，具体付款时间以财政部门批复并支付为准</w:t>
      </w:r>
      <w:r>
        <w:rPr>
          <w:rFonts w:hint="eastAsia" w:asciiTheme="minorEastAsia" w:hAnsiTheme="minorEastAsia" w:eastAsiaTheme="minorEastAsia" w:cstheme="minorEastAsia"/>
          <w:color w:val="FF0000"/>
          <w:sz w:val="24"/>
          <w:szCs w:val="24"/>
          <w:lang w:val="en-US" w:eastAsia="zh-CN"/>
        </w:rPr>
        <w:t>,</w:t>
      </w:r>
      <w:r>
        <w:rPr>
          <w:rFonts w:hint="eastAsia" w:asciiTheme="minorEastAsia" w:hAnsiTheme="minorEastAsia" w:eastAsiaTheme="minorEastAsia" w:cstheme="minorEastAsia"/>
          <w:color w:val="FF0000"/>
          <w:sz w:val="24"/>
          <w:szCs w:val="24"/>
        </w:rPr>
        <w:t>向乙方支付剩余合同款。</w:t>
      </w:r>
    </w:p>
    <w:p>
      <w:pPr>
        <w:spacing w:line="500" w:lineRule="exact"/>
        <w:jc w:val="left"/>
        <w:rPr>
          <w:rFonts w:ascii="宋体" w:hAnsi="宋体" w:cs="宋体"/>
          <w:sz w:val="24"/>
        </w:rPr>
      </w:pPr>
    </w:p>
    <w:p>
      <w:pPr>
        <w:rPr>
          <w:sz w:val="30"/>
          <w:szCs w:val="30"/>
        </w:rPr>
      </w:pPr>
    </w:p>
    <w:bookmarkEnd w:id="4"/>
    <w:p>
      <w:pPr>
        <w:pStyle w:val="3"/>
        <w:ind w:firstLine="2891" w:firstLineChars="800"/>
        <w:rPr>
          <w:sz w:val="36"/>
          <w:szCs w:val="36"/>
        </w:rPr>
      </w:pPr>
      <w:bookmarkStart w:id="8" w:name="_Toc454458052"/>
      <w:bookmarkStart w:id="9" w:name="_Toc31253"/>
    </w:p>
    <w:p>
      <w:pPr>
        <w:pStyle w:val="3"/>
        <w:ind w:firstLine="2891" w:firstLineChars="800"/>
        <w:rPr>
          <w:sz w:val="36"/>
          <w:szCs w:val="36"/>
        </w:rPr>
      </w:pPr>
      <w:r>
        <w:rPr>
          <w:rFonts w:hint="eastAsia"/>
          <w:sz w:val="36"/>
          <w:szCs w:val="36"/>
        </w:rPr>
        <w:t>第三章 询价须知</w:t>
      </w:r>
      <w:bookmarkEnd w:id="8"/>
      <w:bookmarkEnd w:id="9"/>
    </w:p>
    <w:p>
      <w:pPr>
        <w:pStyle w:val="3"/>
        <w:adjustRightInd w:val="0"/>
        <w:snapToGrid w:val="0"/>
        <w:spacing w:line="360" w:lineRule="auto"/>
        <w:jc w:val="center"/>
        <w:rPr>
          <w:sz w:val="30"/>
          <w:szCs w:val="30"/>
        </w:rPr>
      </w:pPr>
      <w:bookmarkStart w:id="10" w:name="_Toc448133309"/>
      <w:bookmarkStart w:id="11" w:name="_Toc454458053"/>
      <w:bookmarkStart w:id="12" w:name="_Toc453493032"/>
      <w:bookmarkStart w:id="13" w:name="_Toc23116"/>
      <w:r>
        <w:rPr>
          <w:rFonts w:hint="eastAsia" w:cs="宋体"/>
          <w:sz w:val="30"/>
          <w:szCs w:val="30"/>
        </w:rPr>
        <w:t>一、总则</w:t>
      </w:r>
      <w:bookmarkEnd w:id="10"/>
      <w:bookmarkEnd w:id="11"/>
      <w:bookmarkEnd w:id="12"/>
      <w:bookmarkEnd w:id="13"/>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1.定义</w:t>
      </w:r>
    </w:p>
    <w:p>
      <w:pPr>
        <w:adjustRightInd w:val="0"/>
        <w:snapToGrid w:val="0"/>
        <w:spacing w:line="360" w:lineRule="auto"/>
        <w:ind w:firstLine="420" w:firstLineChars="200"/>
        <w:rPr>
          <w:rFonts w:ascii="宋体" w:hAnsi="Times New Roman" w:cs="宋体"/>
        </w:rPr>
      </w:pPr>
      <w:r>
        <w:rPr>
          <w:rFonts w:hint="eastAsia" w:ascii="宋体" w:hAnsi="宋体" w:cs="宋体"/>
        </w:rPr>
        <w:t>1.1货物：指供应商为满足《采购需求书》要求而提供的所有货物。</w:t>
      </w:r>
    </w:p>
    <w:p>
      <w:pPr>
        <w:adjustRightInd w:val="0"/>
        <w:snapToGrid w:val="0"/>
        <w:spacing w:line="360" w:lineRule="auto"/>
        <w:ind w:firstLine="420" w:firstLineChars="200"/>
        <w:rPr>
          <w:rFonts w:ascii="宋体" w:hAnsi="Times New Roman" w:cs="宋体"/>
        </w:rPr>
      </w:pPr>
      <w:r>
        <w:rPr>
          <w:rFonts w:hint="eastAsia" w:ascii="宋体" w:hAnsi="宋体" w:cs="宋体"/>
        </w:rPr>
        <w:t>1.2采购人：</w:t>
      </w:r>
      <w:r>
        <w:rPr>
          <w:rFonts w:hint="eastAsia" w:ascii="Times New Roman" w:hAnsi="Times New Roman" w:cs="宋体"/>
        </w:rPr>
        <w:t>广西南宁技师学院。</w:t>
      </w:r>
    </w:p>
    <w:p>
      <w:pPr>
        <w:adjustRightInd w:val="0"/>
        <w:snapToGrid w:val="0"/>
        <w:spacing w:line="360" w:lineRule="auto"/>
        <w:ind w:firstLine="420" w:firstLineChars="200"/>
        <w:rPr>
          <w:rFonts w:ascii="宋体" w:hAnsi="Times New Roman" w:cs="宋体"/>
        </w:rPr>
      </w:pPr>
      <w:r>
        <w:rPr>
          <w:rFonts w:hint="eastAsia" w:ascii="宋体" w:hAnsi="宋体" w:cs="宋体"/>
        </w:rPr>
        <w:t>1.3供应商：指</w:t>
      </w:r>
      <w:r>
        <w:rPr>
          <w:rFonts w:hint="eastAsia" w:ascii="宋体" w:hAnsi="宋体" w:cs="宋体"/>
          <w:lang w:eastAsia="zh-TW"/>
        </w:rPr>
        <w:t>响应</w:t>
      </w:r>
      <w:r>
        <w:rPr>
          <w:rFonts w:hint="eastAsia" w:ascii="宋体" w:hAnsi="宋体" w:cs="宋体"/>
        </w:rPr>
        <w:t>询价文件</w:t>
      </w:r>
      <w:r>
        <w:rPr>
          <w:rFonts w:hint="eastAsia" w:ascii="宋体" w:hAnsi="宋体" w:cs="宋体"/>
          <w:lang w:eastAsia="zh-TW"/>
        </w:rPr>
        <w:t>并且符合规定资格条件和参加竞争的法人、其他组织或者自然人。</w:t>
      </w:r>
    </w:p>
    <w:p>
      <w:pPr>
        <w:adjustRightInd w:val="0"/>
        <w:snapToGrid w:val="0"/>
        <w:spacing w:line="360" w:lineRule="auto"/>
        <w:ind w:firstLine="420" w:firstLineChars="200"/>
        <w:rPr>
          <w:rFonts w:ascii="宋体" w:hAnsi="Times New Roman" w:cs="宋体"/>
        </w:rPr>
      </w:pPr>
      <w:r>
        <w:rPr>
          <w:rFonts w:hint="eastAsia" w:ascii="宋体" w:hAnsi="宋体" w:cs="宋体"/>
        </w:rPr>
        <w:t>1.4</w:t>
      </w:r>
      <w:r>
        <w:rPr>
          <w:rFonts w:hint="eastAsia" w:ascii="Times New Roman" w:hAnsi="Times New Roman" w:cs="宋体"/>
        </w:rPr>
        <w:t>监管管理部门：</w:t>
      </w:r>
      <w:r>
        <w:rPr>
          <w:rFonts w:hint="eastAsia" w:ascii="宋体" w:hAnsi="宋体" w:cs="宋体"/>
        </w:rPr>
        <w:t>广西南宁技师学院党委办公室。</w:t>
      </w:r>
    </w:p>
    <w:p>
      <w:pPr>
        <w:adjustRightInd w:val="0"/>
        <w:snapToGrid w:val="0"/>
        <w:spacing w:line="360" w:lineRule="auto"/>
        <w:ind w:firstLine="420" w:firstLineChars="200"/>
        <w:rPr>
          <w:rFonts w:ascii="宋体" w:hAnsi="Times New Roman" w:cs="宋体"/>
        </w:rPr>
      </w:pPr>
      <w:r>
        <w:rPr>
          <w:rFonts w:hint="eastAsia" w:ascii="宋体" w:hAnsi="宋体" w:cs="宋体"/>
        </w:rPr>
        <w:t>1.</w:t>
      </w:r>
      <w:r>
        <w:rPr>
          <w:rFonts w:ascii="宋体" w:hAnsi="宋体" w:cs="宋体"/>
        </w:rPr>
        <w:t>5</w:t>
      </w:r>
      <w:r>
        <w:rPr>
          <w:rFonts w:hint="eastAsia" w:ascii="宋体" w:hAnsi="宋体" w:cs="宋体"/>
        </w:rPr>
        <w:t>询价小组：由项目部门代表及广西南宁技师学院采购项目相关专业教师中随机抽取的专家组成，专门负责本次谈询价评审工作的临时性机构（其成员称为评委）</w:t>
      </w:r>
      <w:r>
        <w:rPr>
          <w:rFonts w:hint="eastAsia" w:ascii="宋体" w:hAnsi="宋体" w:cs="宋体"/>
          <w:color w:val="000000"/>
        </w:rPr>
        <w:t>；</w:t>
      </w:r>
    </w:p>
    <w:p>
      <w:pPr>
        <w:adjustRightInd w:val="0"/>
        <w:snapToGrid w:val="0"/>
        <w:spacing w:line="360" w:lineRule="auto"/>
        <w:ind w:firstLine="420" w:firstLineChars="200"/>
        <w:rPr>
          <w:rFonts w:ascii="宋体" w:hAnsi="宋体" w:cs="宋体"/>
          <w:color w:val="000000"/>
        </w:rPr>
      </w:pPr>
      <w:r>
        <w:rPr>
          <w:rFonts w:hint="eastAsia" w:ascii="宋体" w:hAnsi="宋体" w:cs="宋体"/>
        </w:rPr>
        <w:t>1.</w:t>
      </w:r>
      <w:r>
        <w:rPr>
          <w:rFonts w:ascii="宋体" w:hAnsi="宋体" w:cs="宋体"/>
        </w:rPr>
        <w:t>6</w:t>
      </w:r>
      <w:r>
        <w:rPr>
          <w:rFonts w:hint="eastAsia" w:ascii="宋体" w:hAnsi="宋体" w:cs="宋体"/>
        </w:rPr>
        <w:t>实质性响应：</w:t>
      </w:r>
      <w:r>
        <w:rPr>
          <w:rFonts w:hint="eastAsia" w:ascii="宋体" w:hAnsi="宋体" w:cs="宋体"/>
          <w:color w:val="000000"/>
        </w:rPr>
        <w:t>是指符合</w:t>
      </w:r>
      <w:r>
        <w:rPr>
          <w:rFonts w:hint="eastAsia" w:ascii="宋体" w:hAnsi="宋体" w:cs="宋体"/>
        </w:rPr>
        <w:t>询价</w:t>
      </w:r>
      <w:r>
        <w:rPr>
          <w:rFonts w:hint="eastAsia" w:ascii="宋体" w:hAnsi="宋体" w:cs="宋体"/>
          <w:color w:val="000000"/>
        </w:rPr>
        <w:t>文件实质性条款的要求。</w:t>
      </w:r>
    </w:p>
    <w:p>
      <w:pPr>
        <w:adjustRightInd w:val="0"/>
        <w:snapToGrid w:val="0"/>
        <w:spacing w:line="360" w:lineRule="auto"/>
        <w:ind w:firstLine="420" w:firstLineChars="200"/>
        <w:rPr>
          <w:rFonts w:ascii="宋体" w:hAnsi="Times New Roman" w:cs="宋体"/>
          <w:color w:val="000000"/>
        </w:rPr>
      </w:pPr>
      <w:r>
        <w:rPr>
          <w:rFonts w:hint="eastAsia" w:ascii="宋体" w:hAnsi="宋体" w:cs="宋体"/>
        </w:rPr>
        <w:t>1.</w:t>
      </w:r>
      <w:r>
        <w:rPr>
          <w:rFonts w:ascii="宋体" w:hAnsi="宋体" w:cs="宋体"/>
        </w:rPr>
        <w:t>7</w:t>
      </w:r>
      <w:r>
        <w:rPr>
          <w:rFonts w:hint="eastAsia" w:ascii="宋体" w:hAnsi="宋体" w:cs="宋体"/>
          <w:color w:val="000000"/>
        </w:rPr>
        <w:t>重大偏离或保留：是指影响到询价文件规定的货物</w:t>
      </w:r>
      <w:r>
        <w:rPr>
          <w:rFonts w:hint="eastAsia" w:ascii="宋体" w:hAnsi="宋体" w:cs="宋体"/>
        </w:rPr>
        <w:t>和质量或限制了采购人的权利和响应供应商的义务的规定，而纠正这些偏离将影响到其它响应供应商的公平竞争地位。</w:t>
      </w:r>
    </w:p>
    <w:p>
      <w:pPr>
        <w:adjustRightInd w:val="0"/>
        <w:snapToGrid w:val="0"/>
        <w:spacing w:line="360" w:lineRule="auto"/>
        <w:ind w:firstLine="420" w:firstLineChars="200"/>
        <w:rPr>
          <w:rFonts w:cs="宋体"/>
          <w:color w:val="000000"/>
        </w:rPr>
      </w:pPr>
      <w:r>
        <w:rPr>
          <w:rFonts w:hint="eastAsia" w:ascii="宋体" w:hAnsi="宋体" w:cs="宋体"/>
          <w:color w:val="000000"/>
        </w:rPr>
        <w:t>1.</w:t>
      </w:r>
      <w:r>
        <w:rPr>
          <w:rFonts w:ascii="宋体" w:hAnsi="宋体" w:cs="宋体"/>
          <w:color w:val="000000"/>
        </w:rPr>
        <w:t>8</w:t>
      </w:r>
      <w:r>
        <w:rPr>
          <w:rFonts w:hint="eastAsia" w:ascii="Times New Roman" w:hAnsi="Times New Roman" w:cs="宋体"/>
          <w:color w:val="000000"/>
        </w:rPr>
        <w:t>日期、天数、时间：无特别说明时是指公历日及北京时间。</w:t>
      </w:r>
      <w:r>
        <w:rPr>
          <w:rFonts w:cs="宋体"/>
          <w:b/>
          <w:color w:val="000000"/>
        </w:rPr>
        <w:t xml:space="preserve"> </w:t>
      </w:r>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2.适用范围</w:t>
      </w:r>
    </w:p>
    <w:p>
      <w:pPr>
        <w:autoSpaceDE w:val="0"/>
        <w:autoSpaceDN w:val="0"/>
        <w:adjustRightInd w:val="0"/>
        <w:snapToGrid w:val="0"/>
        <w:spacing w:line="360" w:lineRule="auto"/>
        <w:ind w:firstLine="420" w:firstLineChars="200"/>
        <w:rPr>
          <w:rFonts w:ascii="宋体" w:hAnsi="Times New Roman" w:cs="宋体"/>
          <w:color w:val="FF0000"/>
        </w:rPr>
      </w:pPr>
      <w:r>
        <w:rPr>
          <w:rFonts w:hint="eastAsia" w:ascii="宋体" w:hAnsi="宋体" w:cs="宋体"/>
        </w:rPr>
        <w:t>2.1本询价文件</w:t>
      </w:r>
      <w:r>
        <w:rPr>
          <w:rFonts w:hint="eastAsia" w:ascii="宋体" w:hAnsi="宋体" w:cs="宋体"/>
          <w:color w:val="000000"/>
        </w:rPr>
        <w:t>依据《中华人民共和国政府采购法》及其实施条例和相关的法规、规章编制。</w:t>
      </w:r>
    </w:p>
    <w:p>
      <w:pPr>
        <w:adjustRightInd w:val="0"/>
        <w:snapToGrid w:val="0"/>
        <w:spacing w:line="360" w:lineRule="auto"/>
        <w:ind w:firstLine="420" w:firstLineChars="200"/>
        <w:rPr>
          <w:rFonts w:ascii="宋体" w:hAnsi="Times New Roman" w:cs="宋体"/>
        </w:rPr>
      </w:pPr>
      <w:r>
        <w:rPr>
          <w:rFonts w:hint="eastAsia" w:ascii="宋体" w:hAnsi="宋体" w:cs="宋体"/>
        </w:rPr>
        <w:t>2.2采购人、供应商各方当事人适用本须知。</w:t>
      </w:r>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3.参加询价活动费用：</w:t>
      </w:r>
    </w:p>
    <w:p>
      <w:pPr>
        <w:adjustRightInd w:val="0"/>
        <w:snapToGrid w:val="0"/>
        <w:spacing w:line="360" w:lineRule="auto"/>
        <w:ind w:firstLine="420" w:firstLineChars="200"/>
        <w:outlineLvl w:val="2"/>
        <w:rPr>
          <w:rFonts w:ascii="宋体" w:hAnsi="Times New Roman" w:cs="宋体"/>
        </w:rPr>
      </w:pPr>
      <w:r>
        <w:rPr>
          <w:rFonts w:hint="eastAsia" w:ascii="宋体" w:hAnsi="宋体" w:cs="宋体"/>
          <w:color w:val="000000"/>
        </w:rPr>
        <w:t>供应商编写和提交询价响应文件及参加本次询价活动有关的所有费用由供应商承担，不论询价结果如何，采购人均不承担上述费用。</w:t>
      </w:r>
    </w:p>
    <w:p>
      <w:pPr>
        <w:adjustRightInd w:val="0"/>
        <w:snapToGrid w:val="0"/>
        <w:spacing w:line="360" w:lineRule="auto"/>
        <w:ind w:firstLine="413" w:firstLineChars="196"/>
        <w:outlineLvl w:val="2"/>
        <w:rPr>
          <w:rFonts w:ascii="宋体" w:hAnsi="Times New Roman" w:cs="宋体"/>
        </w:rPr>
      </w:pPr>
      <w:r>
        <w:rPr>
          <w:rFonts w:hint="eastAsia" w:ascii="宋体" w:hAnsi="宋体" w:cs="宋体"/>
          <w:b/>
        </w:rPr>
        <w:t>4.其他</w:t>
      </w:r>
    </w:p>
    <w:p>
      <w:pPr>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lang w:eastAsia="zh-TW"/>
        </w:rPr>
        <w:t>所有时间均为24小时制北京时间，所有货币单位均为人民币元，所使用的计量单位均以《中华人民共和国法定计量单位》为准（特别注明除外）</w:t>
      </w:r>
      <w:r>
        <w:rPr>
          <w:rFonts w:hint="eastAsia" w:ascii="宋体" w:hAnsi="宋体" w:cs="宋体"/>
        </w:rPr>
        <w:t>。</w:t>
      </w:r>
    </w:p>
    <w:p>
      <w:pPr>
        <w:autoSpaceDE w:val="0"/>
        <w:autoSpaceDN w:val="0"/>
        <w:adjustRightInd w:val="0"/>
        <w:snapToGrid w:val="0"/>
        <w:spacing w:line="360" w:lineRule="auto"/>
        <w:ind w:firstLine="420" w:firstLineChars="200"/>
      </w:pPr>
    </w:p>
    <w:p>
      <w:pPr>
        <w:pStyle w:val="3"/>
        <w:adjustRightInd w:val="0"/>
        <w:snapToGrid w:val="0"/>
        <w:spacing w:line="360" w:lineRule="auto"/>
        <w:jc w:val="center"/>
        <w:rPr>
          <w:sz w:val="30"/>
          <w:szCs w:val="30"/>
        </w:rPr>
      </w:pPr>
      <w:bookmarkStart w:id="14" w:name="_Toc448133310"/>
      <w:bookmarkStart w:id="15" w:name="_Toc454458054"/>
      <w:bookmarkStart w:id="16" w:name="_Toc453493033"/>
      <w:bookmarkStart w:id="17" w:name="_Toc32133"/>
      <w:r>
        <w:rPr>
          <w:rFonts w:hint="eastAsia" w:cs="宋体"/>
          <w:sz w:val="30"/>
          <w:szCs w:val="30"/>
        </w:rPr>
        <w:t>二、询价</w:t>
      </w:r>
      <w:bookmarkEnd w:id="14"/>
      <w:bookmarkEnd w:id="15"/>
      <w:bookmarkEnd w:id="16"/>
      <w:r>
        <w:rPr>
          <w:rFonts w:hint="eastAsia" w:cs="宋体"/>
          <w:sz w:val="30"/>
          <w:szCs w:val="30"/>
        </w:rPr>
        <w:t>文件</w:t>
      </w:r>
      <w:bookmarkEnd w:id="17"/>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5.询价文件的组成</w:t>
      </w:r>
    </w:p>
    <w:p>
      <w:pPr>
        <w:adjustRightInd w:val="0"/>
        <w:snapToGrid w:val="0"/>
        <w:spacing w:line="360" w:lineRule="auto"/>
        <w:ind w:firstLine="420" w:firstLineChars="200"/>
        <w:rPr>
          <w:rFonts w:ascii="宋体" w:hAnsi="Times New Roman" w:cs="宋体"/>
          <w:b/>
        </w:rPr>
      </w:pPr>
      <w:r>
        <w:rPr>
          <w:rFonts w:hint="eastAsia" w:ascii="宋体" w:hAnsi="宋体" w:cs="宋体"/>
        </w:rPr>
        <w:t>5.1询价文件包括：</w:t>
      </w:r>
    </w:p>
    <w:p>
      <w:pPr>
        <w:adjustRightInd w:val="0"/>
        <w:snapToGrid w:val="0"/>
        <w:spacing w:line="360" w:lineRule="auto"/>
        <w:ind w:firstLine="420" w:firstLineChars="200"/>
        <w:rPr>
          <w:rFonts w:ascii="宋体" w:hAnsi="Times New Roman" w:cs="宋体"/>
        </w:rPr>
      </w:pPr>
      <w:r>
        <w:rPr>
          <w:rFonts w:hint="eastAsia" w:ascii="宋体" w:hAnsi="宋体" w:cs="宋体"/>
        </w:rPr>
        <w:t>5.1.1询价公告</w:t>
      </w:r>
    </w:p>
    <w:p>
      <w:pPr>
        <w:adjustRightInd w:val="0"/>
        <w:snapToGrid w:val="0"/>
        <w:spacing w:line="360" w:lineRule="auto"/>
        <w:ind w:firstLine="420" w:firstLineChars="200"/>
        <w:rPr>
          <w:rFonts w:ascii="宋体" w:hAnsi="Times New Roman" w:cs="宋体"/>
        </w:rPr>
      </w:pPr>
      <w:r>
        <w:rPr>
          <w:rFonts w:hint="eastAsia" w:ascii="宋体" w:hAnsi="宋体" w:cs="宋体"/>
        </w:rPr>
        <w:t>5.1.2采购需求书</w:t>
      </w:r>
    </w:p>
    <w:p>
      <w:pPr>
        <w:adjustRightInd w:val="0"/>
        <w:snapToGrid w:val="0"/>
        <w:spacing w:line="360" w:lineRule="auto"/>
        <w:ind w:firstLine="420" w:firstLineChars="200"/>
        <w:rPr>
          <w:rFonts w:ascii="宋体" w:hAnsi="Times New Roman" w:cs="宋体"/>
        </w:rPr>
      </w:pPr>
      <w:r>
        <w:rPr>
          <w:rFonts w:hint="eastAsia" w:ascii="宋体" w:hAnsi="宋体" w:cs="宋体"/>
        </w:rPr>
        <w:t>5.1.3询价须知</w:t>
      </w:r>
    </w:p>
    <w:p>
      <w:pPr>
        <w:adjustRightInd w:val="0"/>
        <w:snapToGrid w:val="0"/>
        <w:spacing w:line="360" w:lineRule="auto"/>
        <w:ind w:firstLine="420" w:firstLineChars="200"/>
        <w:rPr>
          <w:rFonts w:ascii="宋体" w:hAnsi="Times New Roman" w:cs="宋体"/>
        </w:rPr>
      </w:pPr>
      <w:r>
        <w:rPr>
          <w:rFonts w:hint="eastAsia" w:ascii="宋体" w:hAnsi="宋体" w:cs="宋体"/>
        </w:rPr>
        <w:t>5.1.</w:t>
      </w:r>
      <w:r>
        <w:rPr>
          <w:rFonts w:ascii="宋体" w:hAnsi="宋体" w:cs="宋体"/>
        </w:rPr>
        <w:t>4</w:t>
      </w:r>
      <w:r>
        <w:rPr>
          <w:rFonts w:hint="eastAsia" w:ascii="宋体" w:hAnsi="宋体" w:cs="宋体"/>
        </w:rPr>
        <w:t>合同条款</w:t>
      </w:r>
    </w:p>
    <w:p>
      <w:pPr>
        <w:adjustRightInd w:val="0"/>
        <w:snapToGrid w:val="0"/>
        <w:spacing w:line="360" w:lineRule="auto"/>
        <w:ind w:firstLine="420" w:firstLineChars="200"/>
        <w:rPr>
          <w:rFonts w:ascii="宋体" w:hAnsi="Times New Roman" w:cs="宋体"/>
        </w:rPr>
      </w:pPr>
      <w:r>
        <w:rPr>
          <w:rFonts w:hint="eastAsia" w:ascii="宋体" w:hAnsi="宋体" w:cs="宋体"/>
        </w:rPr>
        <w:t>5.1.</w:t>
      </w:r>
      <w:r>
        <w:rPr>
          <w:rFonts w:ascii="宋体" w:hAnsi="宋体" w:cs="宋体"/>
        </w:rPr>
        <w:t>5</w:t>
      </w:r>
      <w:r>
        <w:rPr>
          <w:rFonts w:hint="eastAsia" w:ascii="宋体" w:hAnsi="宋体" w:cs="宋体"/>
        </w:rPr>
        <w:t>响应文件格式</w:t>
      </w:r>
    </w:p>
    <w:p>
      <w:pPr>
        <w:adjustRightInd w:val="0"/>
        <w:snapToGrid w:val="0"/>
        <w:spacing w:line="360" w:lineRule="auto"/>
        <w:ind w:firstLine="420" w:firstLineChars="200"/>
        <w:rPr>
          <w:rFonts w:ascii="宋体" w:hAnsi="Times New Roman" w:cs="宋体"/>
        </w:rPr>
      </w:pPr>
      <w:r>
        <w:rPr>
          <w:rFonts w:hint="eastAsia" w:ascii="宋体" w:hAnsi="宋体" w:cs="宋体"/>
        </w:rPr>
        <w:t>5.2供应商应认真阅读询价文件中所有的事项、格式、条款和规范等要求。如果供应商没有按照询价文件要求提交全部资料，或者响应文件没有对询价文件做出实质性响应，由此造成的后果由供应商负责。</w:t>
      </w:r>
    </w:p>
    <w:p>
      <w:pPr>
        <w:adjustRightInd w:val="0"/>
        <w:snapToGrid w:val="0"/>
        <w:spacing w:line="360" w:lineRule="auto"/>
        <w:ind w:firstLine="420" w:firstLineChars="200"/>
        <w:rPr>
          <w:rFonts w:ascii="宋体" w:hAnsi="Times New Roman" w:cs="宋体"/>
        </w:rPr>
      </w:pPr>
      <w:r>
        <w:rPr>
          <w:rFonts w:hint="eastAsia" w:ascii="宋体" w:hAnsi="宋体" w:cs="宋体"/>
        </w:rPr>
        <w:t>5.3采购人保留对询价过程的保密，对成交结果不作任何解释的权利。</w:t>
      </w:r>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6.询价文件的澄清或修改</w:t>
      </w:r>
    </w:p>
    <w:p>
      <w:pPr>
        <w:adjustRightInd w:val="0"/>
        <w:snapToGrid w:val="0"/>
        <w:spacing w:line="360" w:lineRule="auto"/>
        <w:ind w:firstLine="411" w:firstLineChars="196"/>
        <w:outlineLvl w:val="2"/>
        <w:rPr>
          <w:rFonts w:ascii="宋体" w:hAnsi="Times New Roman" w:cs="宋体"/>
          <w:b/>
        </w:rPr>
      </w:pPr>
      <w:r>
        <w:rPr>
          <w:rFonts w:hint="eastAsia" w:ascii="宋体" w:hAnsi="宋体" w:cs="宋体"/>
          <w:color w:val="000000"/>
        </w:rPr>
        <w:t>6.1任何要求对询价</w:t>
      </w:r>
      <w:bookmarkStart w:id="18" w:name="_Hlk42786655"/>
      <w:r>
        <w:rPr>
          <w:rFonts w:hint="eastAsia" w:ascii="宋体" w:hAnsi="宋体" w:cs="宋体"/>
          <w:color w:val="000000"/>
        </w:rPr>
        <w:t>文件</w:t>
      </w:r>
      <w:bookmarkEnd w:id="18"/>
      <w:r>
        <w:rPr>
          <w:rFonts w:hint="eastAsia" w:ascii="宋体" w:hAnsi="宋体" w:cs="宋体"/>
          <w:color w:val="000000"/>
        </w:rPr>
        <w:t>进行澄</w:t>
      </w:r>
      <w:r>
        <w:rPr>
          <w:rFonts w:hint="eastAsia" w:ascii="宋体" w:hAnsi="宋体" w:cs="宋体"/>
        </w:rPr>
        <w:t>清的供应商，均应以书面形式通知采购人。采购人收到对询价</w:t>
      </w:r>
      <w:r>
        <w:rPr>
          <w:rFonts w:hint="eastAsia" w:ascii="宋体" w:hAnsi="宋体" w:cs="宋体"/>
          <w:color w:val="000000"/>
        </w:rPr>
        <w:t>文件</w:t>
      </w:r>
      <w:r>
        <w:rPr>
          <w:rFonts w:hint="eastAsia" w:ascii="宋体" w:hAnsi="宋体" w:cs="宋体"/>
        </w:rPr>
        <w:t>的澄清要求将以书面形式答复，同时将书面答复以公告形式告知每位供应商（答复不包括问题的来源）；</w:t>
      </w:r>
    </w:p>
    <w:p>
      <w:pPr>
        <w:snapToGrid w:val="0"/>
        <w:spacing w:line="360" w:lineRule="auto"/>
        <w:rPr>
          <w:rFonts w:ascii="宋体" w:hAnsi="Times New Roman" w:cs="宋体"/>
          <w:color w:val="000000"/>
        </w:rPr>
      </w:pPr>
      <w:r>
        <w:rPr>
          <w:rFonts w:hint="eastAsia" w:ascii="宋体" w:hAnsi="宋体" w:cs="宋体"/>
          <w:color w:val="000000"/>
        </w:rPr>
        <w:t xml:space="preserve">    6.2在询价开始前或在解答供应商提出的需澄清问题时，采购人可主动对询价文件进行修改；</w:t>
      </w:r>
    </w:p>
    <w:p>
      <w:pPr>
        <w:snapToGrid w:val="0"/>
        <w:spacing w:line="360" w:lineRule="auto"/>
        <w:ind w:firstLine="420" w:firstLineChars="200"/>
        <w:rPr>
          <w:rFonts w:ascii="宋体" w:hAnsi="Times New Roman" w:cs="宋体"/>
          <w:color w:val="000000"/>
        </w:rPr>
      </w:pPr>
      <w:r>
        <w:rPr>
          <w:rFonts w:hint="eastAsia" w:ascii="宋体" w:hAnsi="宋体" w:cs="宋体"/>
          <w:color w:val="000000"/>
        </w:rPr>
        <w:t>6.3询价文件的澄清和修改均以公告形式通知所有供应商。该澄清和修改文件是询价文件的组成部分，对供应商具有约束力；</w:t>
      </w:r>
    </w:p>
    <w:p>
      <w:pPr>
        <w:snapToGrid w:val="0"/>
        <w:spacing w:line="360" w:lineRule="auto"/>
        <w:rPr>
          <w:rFonts w:ascii="宋体" w:hAnsi="Times New Roman" w:cs="宋体"/>
          <w:color w:val="000000"/>
        </w:rPr>
      </w:pPr>
      <w:r>
        <w:rPr>
          <w:rFonts w:hint="eastAsia" w:ascii="宋体" w:hAnsi="宋体" w:cs="宋体"/>
          <w:color w:val="000000"/>
        </w:rPr>
        <w:t xml:space="preserve">    6.</w:t>
      </w:r>
      <w:r>
        <w:rPr>
          <w:rFonts w:ascii="宋体" w:hAnsi="宋体" w:cs="宋体"/>
          <w:color w:val="000000"/>
        </w:rPr>
        <w:t>4</w:t>
      </w:r>
      <w:r>
        <w:rPr>
          <w:rFonts w:hint="eastAsia" w:ascii="宋体" w:hAnsi="宋体" w:cs="宋体"/>
          <w:color w:val="000000"/>
        </w:rPr>
        <w:t>采购人可视情况延长询价开始时间和询价评审时间，并将此变更通知所有询价供应商。在推迟询价开始时间情况下，采购人和供应商受询价开始时间制约的所有权利和义务均延长至新的截止时间；</w:t>
      </w:r>
    </w:p>
    <w:p>
      <w:pPr>
        <w:snapToGrid w:val="0"/>
        <w:spacing w:line="360" w:lineRule="auto"/>
        <w:rPr>
          <w:rFonts w:ascii="宋体" w:hAnsi="Times New Roman" w:cs="宋体"/>
          <w:color w:val="000000"/>
        </w:rPr>
      </w:pPr>
      <w:r>
        <w:rPr>
          <w:rFonts w:hint="eastAsia" w:ascii="宋体" w:hAnsi="宋体" w:cs="宋体"/>
          <w:color w:val="000000"/>
        </w:rPr>
        <w:t xml:space="preserve">    6.</w:t>
      </w:r>
      <w:r>
        <w:rPr>
          <w:rFonts w:ascii="宋体" w:hAnsi="宋体" w:cs="宋体"/>
          <w:color w:val="000000"/>
        </w:rPr>
        <w:t>5</w:t>
      </w:r>
      <w:r>
        <w:rPr>
          <w:rFonts w:hint="eastAsia" w:ascii="宋体" w:hAnsi="宋体" w:cs="宋体"/>
          <w:color w:val="000000"/>
        </w:rPr>
        <w:t>询价过程中，询价文件内容如有实质性变更，询价小组应以书面形式通知所有参与询价的供应商。若供应商对此类实质性变更不予接受，可以要求退出询价，否则将被视为接受此变更并受其约束。</w:t>
      </w:r>
    </w:p>
    <w:p>
      <w:pPr>
        <w:snapToGrid w:val="0"/>
        <w:spacing w:line="360" w:lineRule="auto"/>
        <w:ind w:firstLine="413" w:firstLineChars="196"/>
        <w:rPr>
          <w:rFonts w:ascii="宋体" w:hAnsi="Times New Roman" w:cs="宋体"/>
          <w:b/>
          <w:color w:val="000000"/>
        </w:rPr>
      </w:pPr>
      <w:r>
        <w:rPr>
          <w:rFonts w:hint="eastAsia" w:ascii="宋体" w:hAnsi="宋体" w:cs="宋体"/>
          <w:b/>
          <w:color w:val="000000"/>
        </w:rPr>
        <w:t>7.询价文件的解释权</w:t>
      </w:r>
    </w:p>
    <w:p>
      <w:pPr>
        <w:snapToGrid w:val="0"/>
        <w:spacing w:line="360" w:lineRule="auto"/>
        <w:ind w:firstLine="420" w:firstLineChars="200"/>
      </w:pPr>
      <w:r>
        <w:rPr>
          <w:rFonts w:hint="eastAsia" w:ascii="宋体" w:hAnsi="宋体" w:cs="宋体"/>
          <w:color w:val="000000"/>
        </w:rPr>
        <w:t>本询价文件的</w:t>
      </w:r>
      <w:r>
        <w:rPr>
          <w:rFonts w:hint="eastAsia" w:ascii="Times New Roman" w:hAnsi="Times New Roman" w:cs="宋体"/>
        </w:rPr>
        <w:t>解释权归“广西南宁技师学院”所有。</w:t>
      </w:r>
    </w:p>
    <w:p>
      <w:pPr>
        <w:snapToGrid w:val="0"/>
        <w:spacing w:line="360" w:lineRule="auto"/>
        <w:ind w:firstLine="420" w:firstLineChars="200"/>
      </w:pPr>
    </w:p>
    <w:p>
      <w:pPr>
        <w:pStyle w:val="3"/>
        <w:adjustRightInd w:val="0"/>
        <w:snapToGrid w:val="0"/>
        <w:spacing w:line="360" w:lineRule="auto"/>
        <w:jc w:val="center"/>
        <w:rPr>
          <w:sz w:val="30"/>
          <w:szCs w:val="30"/>
        </w:rPr>
      </w:pPr>
      <w:bookmarkStart w:id="19" w:name="_Toc448133311"/>
      <w:bookmarkStart w:id="20" w:name="_Toc5744"/>
      <w:bookmarkStart w:id="21" w:name="_Toc453493034"/>
      <w:bookmarkStart w:id="22" w:name="_Toc454458055"/>
      <w:r>
        <w:rPr>
          <w:rFonts w:hint="eastAsia" w:cs="宋体"/>
          <w:sz w:val="30"/>
          <w:szCs w:val="30"/>
        </w:rPr>
        <w:t>三、响应文件的编制</w:t>
      </w:r>
      <w:bookmarkEnd w:id="19"/>
      <w:bookmarkEnd w:id="20"/>
      <w:bookmarkEnd w:id="21"/>
      <w:bookmarkEnd w:id="22"/>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8.响应文件的语言及计量</w:t>
      </w:r>
    </w:p>
    <w:p>
      <w:pPr>
        <w:adjustRightInd w:val="0"/>
        <w:snapToGrid w:val="0"/>
        <w:spacing w:line="360" w:lineRule="auto"/>
        <w:ind w:firstLine="420" w:firstLineChars="200"/>
        <w:outlineLvl w:val="2"/>
        <w:rPr>
          <w:rFonts w:ascii="宋体" w:hAnsi="Times New Roman" w:cs="宋体"/>
          <w:b/>
        </w:rPr>
      </w:pPr>
      <w:r>
        <w:rPr>
          <w:rFonts w:hint="eastAsia" w:ascii="宋体" w:hAnsi="宋体" w:cs="宋体"/>
          <w:color w:val="000000"/>
        </w:rPr>
        <w:t>8.1</w:t>
      </w:r>
      <w:r>
        <w:rPr>
          <w:rFonts w:hint="eastAsia" w:ascii="宋体" w:hAnsi="宋体" w:cs="宋体"/>
          <w:lang w:eastAsia="zh-TW"/>
        </w:rPr>
        <w:t>响应文件以及供应商与采购人就有关</w:t>
      </w:r>
      <w:r>
        <w:rPr>
          <w:rFonts w:hint="eastAsia" w:ascii="宋体" w:hAnsi="宋体" w:cs="宋体"/>
        </w:rPr>
        <w:t>询价</w:t>
      </w:r>
      <w:r>
        <w:rPr>
          <w:rFonts w:hint="eastAsia" w:ascii="宋体" w:hAnsi="宋体" w:cs="宋体"/>
          <w:lang w:eastAsia="zh-TW"/>
        </w:rPr>
        <w:t>的所有往来函电均应以中文书写；</w:t>
      </w:r>
    </w:p>
    <w:p>
      <w:pPr>
        <w:adjustRightInd w:val="0"/>
        <w:snapToGrid w:val="0"/>
        <w:spacing w:line="360" w:lineRule="auto"/>
        <w:ind w:firstLine="420" w:firstLineChars="200"/>
        <w:rPr>
          <w:rFonts w:ascii="宋体" w:hAnsi="Times New Roman" w:cs="宋体"/>
          <w:lang w:eastAsia="zh-TW"/>
        </w:rPr>
      </w:pPr>
      <w:r>
        <w:rPr>
          <w:rFonts w:hint="eastAsia" w:ascii="宋体" w:hAnsi="宋体" w:cs="宋体"/>
        </w:rPr>
        <w:t>8.2</w:t>
      </w:r>
      <w:r>
        <w:rPr>
          <w:rFonts w:hint="eastAsia" w:ascii="宋体" w:hAnsi="宋体" w:cs="宋体"/>
          <w:lang w:eastAsia="zh-TW"/>
        </w:rPr>
        <w:t>除</w:t>
      </w:r>
      <w:r>
        <w:rPr>
          <w:rFonts w:hint="eastAsia" w:ascii="宋体" w:hAnsi="宋体" w:cs="宋体"/>
        </w:rPr>
        <w:t>询价文件</w:t>
      </w:r>
      <w:r>
        <w:rPr>
          <w:rFonts w:hint="eastAsia" w:ascii="宋体" w:hAnsi="宋体" w:cs="宋体"/>
          <w:lang w:eastAsia="zh-TW"/>
        </w:rPr>
        <w:t>另有规定外，供应商在响应文件中及其与采购人的所有往来文件中计量单位应使用中华人民共和国法定计量单位。</w:t>
      </w:r>
    </w:p>
    <w:p>
      <w:pPr>
        <w:spacing w:line="360" w:lineRule="auto"/>
        <w:ind w:firstLine="422" w:firstLineChars="200"/>
        <w:rPr>
          <w:rFonts w:ascii="宋体" w:hAnsi="宋体" w:cs="宋体"/>
        </w:rPr>
      </w:pPr>
      <w:bookmarkStart w:id="23" w:name="_Toc378586968"/>
      <w:r>
        <w:rPr>
          <w:rFonts w:hint="eastAsia" w:ascii="宋体" w:hAnsi="宋体" w:cs="宋体"/>
          <w:b/>
        </w:rPr>
        <w:t>9.响应文件的构成</w:t>
      </w:r>
      <w:bookmarkEnd w:id="23"/>
    </w:p>
    <w:p>
      <w:pPr>
        <w:spacing w:line="360" w:lineRule="auto"/>
        <w:ind w:firstLine="420" w:firstLineChars="200"/>
        <w:rPr>
          <w:rFonts w:ascii="宋体" w:hAnsi="宋体" w:cs="宋体"/>
        </w:rPr>
      </w:pPr>
      <w:r>
        <w:rPr>
          <w:rFonts w:hint="eastAsia" w:ascii="宋体" w:hAnsi="宋体" w:cs="宋体"/>
        </w:rPr>
        <w:t>9.1响应文件应包括资格、符合性资料和其他资料：供应商编制并提交的响应文件应包括但不少于下列内容:</w:t>
      </w:r>
    </w:p>
    <w:p>
      <w:pPr>
        <w:spacing w:line="360" w:lineRule="auto"/>
        <w:ind w:firstLine="420" w:firstLineChars="200"/>
        <w:rPr>
          <w:rFonts w:ascii="宋体" w:hAnsi="宋体" w:cs="宋体"/>
        </w:rPr>
      </w:pPr>
      <w:r>
        <w:rPr>
          <w:rFonts w:hint="eastAsia" w:ascii="宋体" w:hAnsi="宋体" w:cs="宋体"/>
        </w:rPr>
        <w:t>（1）询价响应函；</w:t>
      </w:r>
    </w:p>
    <w:p>
      <w:pPr>
        <w:spacing w:line="360" w:lineRule="auto"/>
        <w:ind w:firstLine="420" w:firstLineChars="200"/>
        <w:rPr>
          <w:rFonts w:ascii="宋体" w:hAnsi="宋体" w:cs="宋体"/>
        </w:rPr>
      </w:pPr>
      <w:r>
        <w:rPr>
          <w:rFonts w:hint="eastAsia" w:ascii="宋体" w:hAnsi="宋体" w:cs="宋体"/>
        </w:rPr>
        <w:t xml:space="preserve">（2）供应商资格声明函； </w:t>
      </w:r>
    </w:p>
    <w:p>
      <w:pPr>
        <w:spacing w:line="360" w:lineRule="auto"/>
        <w:ind w:firstLine="420" w:firstLineChars="200"/>
        <w:rPr>
          <w:rFonts w:ascii="宋体" w:hAnsi="宋体" w:cs="宋体"/>
        </w:rPr>
      </w:pPr>
      <w:r>
        <w:rPr>
          <w:rFonts w:hint="eastAsia" w:ascii="宋体" w:hAnsi="宋体" w:cs="宋体"/>
        </w:rPr>
        <w:t>（3）无围标、串标行为承诺书；</w:t>
      </w:r>
    </w:p>
    <w:p>
      <w:pPr>
        <w:spacing w:line="360" w:lineRule="auto"/>
        <w:ind w:firstLine="420" w:firstLineChars="200"/>
        <w:rPr>
          <w:rFonts w:ascii="宋体" w:hAnsi="宋体" w:cs="宋体"/>
        </w:rPr>
      </w:pPr>
      <w:r>
        <w:rPr>
          <w:rFonts w:hint="eastAsia" w:ascii="宋体" w:hAnsi="宋体" w:cs="宋体"/>
        </w:rPr>
        <w:t>（4）法定代表人身份证明、法定代表人授权委托书；</w:t>
      </w:r>
    </w:p>
    <w:p>
      <w:pPr>
        <w:spacing w:line="360" w:lineRule="auto"/>
        <w:ind w:firstLine="420" w:firstLineChars="200"/>
        <w:rPr>
          <w:rFonts w:ascii="宋体" w:hAnsi="宋体" w:cs="宋体"/>
        </w:rPr>
      </w:pPr>
      <w:r>
        <w:rPr>
          <w:rFonts w:hint="eastAsia" w:ascii="宋体" w:hAnsi="宋体" w:cs="宋体"/>
        </w:rPr>
        <w:t>（5）“▲”条款响应一览表</w:t>
      </w:r>
    </w:p>
    <w:p>
      <w:pPr>
        <w:spacing w:line="360" w:lineRule="auto"/>
        <w:ind w:firstLine="420" w:firstLineChars="200"/>
        <w:rPr>
          <w:rFonts w:ascii="宋体" w:hAnsi="宋体" w:cs="宋体"/>
        </w:rPr>
      </w:pPr>
      <w:r>
        <w:rPr>
          <w:rFonts w:hint="eastAsia" w:ascii="宋体" w:hAnsi="宋体" w:cs="宋体"/>
        </w:rPr>
        <w:t>（6）报价表（含报价一览表、报价明细报价表）</w:t>
      </w:r>
    </w:p>
    <w:p>
      <w:pPr>
        <w:spacing w:line="360" w:lineRule="auto"/>
        <w:ind w:firstLine="420" w:firstLineChars="200"/>
        <w:rPr>
          <w:rFonts w:ascii="宋体" w:hAnsi="宋体" w:cs="宋体"/>
        </w:rPr>
      </w:pPr>
      <w:r>
        <w:rPr>
          <w:rFonts w:hint="eastAsia" w:ascii="宋体" w:hAnsi="宋体" w:cs="宋体"/>
        </w:rPr>
        <w:t>（7）供应商相关资料：</w:t>
      </w:r>
    </w:p>
    <w:p>
      <w:pPr>
        <w:spacing w:line="360" w:lineRule="auto"/>
        <w:ind w:firstLine="420" w:firstLineChars="200"/>
        <w:rPr>
          <w:rFonts w:ascii="宋体" w:hAnsi="宋体" w:cs="宋体"/>
        </w:rPr>
      </w:pPr>
      <w:r>
        <w:rPr>
          <w:rFonts w:hint="eastAsia" w:ascii="宋体" w:hAnsi="宋体" w:cs="宋体"/>
        </w:rPr>
        <w:t>1）营业执照副本、税务登记证明、组织机构代码证（注:三证合一提供营业执照）；</w:t>
      </w:r>
    </w:p>
    <w:p>
      <w:pPr>
        <w:spacing w:line="360" w:lineRule="auto"/>
        <w:ind w:firstLine="420" w:firstLineChars="200"/>
        <w:rPr>
          <w:rFonts w:ascii="宋体" w:hAnsi="宋体" w:cs="宋体"/>
        </w:rPr>
      </w:pPr>
      <w:r>
        <w:rPr>
          <w:rFonts w:hint="eastAsia" w:ascii="宋体" w:hAnsi="宋体" w:cs="宋体"/>
        </w:rPr>
        <w:t>2）提供投标截止日前在“国家企业信用信息公示系统” (www.gsxt.gov.cn) 查询信息中的“营业执照信息”、“股东及出资信息”、“主要人员信息”截图加盖公章；</w:t>
      </w:r>
    </w:p>
    <w:p>
      <w:pPr>
        <w:spacing w:line="360" w:lineRule="auto"/>
        <w:ind w:firstLine="420" w:firstLineChars="200"/>
        <w:rPr>
          <w:rFonts w:ascii="宋体" w:hAnsi="宋体" w:cs="宋体"/>
        </w:rPr>
      </w:pPr>
      <w:r>
        <w:rPr>
          <w:rFonts w:hint="eastAsia" w:ascii="宋体" w:hAnsi="宋体" w:cs="宋体"/>
        </w:rPr>
        <w:t>3）提供投标截止日前在“信用中国”网站（www.creditchina.gov.cn）查询结果截图复印件加盖公章；</w:t>
      </w:r>
    </w:p>
    <w:p>
      <w:pPr>
        <w:spacing w:line="360" w:lineRule="auto"/>
        <w:ind w:firstLine="420" w:firstLineChars="200"/>
        <w:rPr>
          <w:rFonts w:ascii="宋体" w:hAnsi="宋体" w:cs="宋体"/>
        </w:rPr>
      </w:pPr>
      <w:r>
        <w:rPr>
          <w:rFonts w:hint="eastAsia" w:ascii="宋体" w:hAnsi="宋体" w:cs="宋体"/>
        </w:rPr>
        <w:t>4）提供投标截止日前在中国政府采购网(www.ccgp.gov.cn) 查询结果截图复印件加盖公章；</w:t>
      </w:r>
    </w:p>
    <w:p>
      <w:pPr>
        <w:spacing w:line="360" w:lineRule="auto"/>
        <w:ind w:firstLine="420" w:firstLineChars="200"/>
        <w:rPr>
          <w:rFonts w:ascii="宋体" w:hAnsi="宋体" w:cs="宋体"/>
        </w:rPr>
      </w:pPr>
      <w:r>
        <w:rPr>
          <w:rFonts w:hint="eastAsia" w:ascii="宋体" w:hAnsi="宋体" w:cs="宋体"/>
        </w:rPr>
        <w:t>5）本项目的特定资格要求（详见第一章“询价公告”）</w:t>
      </w:r>
    </w:p>
    <w:p>
      <w:pPr>
        <w:spacing w:line="360" w:lineRule="auto"/>
        <w:ind w:firstLine="420" w:firstLineChars="200"/>
        <w:rPr>
          <w:rFonts w:ascii="宋体" w:hAnsi="宋体" w:cs="宋体"/>
        </w:rPr>
      </w:pPr>
      <w:r>
        <w:rPr>
          <w:rFonts w:hint="eastAsia" w:ascii="宋体" w:hAnsi="宋体" w:cs="宋体"/>
        </w:rPr>
        <w:t>6）本项目的特定条件</w:t>
      </w:r>
    </w:p>
    <w:p>
      <w:pPr>
        <w:spacing w:line="360" w:lineRule="auto"/>
        <w:ind w:firstLine="420" w:firstLineChars="200"/>
        <w:rPr>
          <w:rFonts w:ascii="宋体" w:hAnsi="宋体" w:cs="宋体"/>
        </w:rPr>
      </w:pPr>
      <w:r>
        <w:rPr>
          <w:rFonts w:hint="eastAsia" w:ascii="宋体" w:hAnsi="宋体" w:cs="宋体"/>
        </w:rPr>
        <w:t>（8）供应商认为需要提供的其他材料。</w:t>
      </w:r>
    </w:p>
    <w:p>
      <w:pPr>
        <w:tabs>
          <w:tab w:val="left" w:pos="900"/>
        </w:tabs>
        <w:adjustRightInd w:val="0"/>
        <w:snapToGrid w:val="0"/>
        <w:spacing w:line="360" w:lineRule="auto"/>
        <w:ind w:firstLine="420" w:firstLineChars="200"/>
        <w:rPr>
          <w:rFonts w:ascii="宋体" w:hAnsi="宋体" w:cs="宋体"/>
        </w:rPr>
      </w:pPr>
    </w:p>
    <w:p>
      <w:pPr>
        <w:tabs>
          <w:tab w:val="left" w:pos="900"/>
        </w:tabs>
        <w:adjustRightInd w:val="0"/>
        <w:snapToGrid w:val="0"/>
        <w:spacing w:line="360" w:lineRule="auto"/>
        <w:ind w:firstLine="420" w:firstLineChars="200"/>
        <w:rPr>
          <w:rFonts w:ascii="宋体" w:hAnsi="Times New Roman" w:cs="宋体"/>
          <w:b/>
        </w:rPr>
      </w:pPr>
      <w:r>
        <w:rPr>
          <w:rFonts w:hint="eastAsia" w:ascii="宋体" w:hAnsi="宋体" w:cs="宋体"/>
        </w:rPr>
        <w:t>编排格式参见第五章响应文件格式。</w:t>
      </w:r>
    </w:p>
    <w:p>
      <w:pPr>
        <w:tabs>
          <w:tab w:val="left" w:pos="900"/>
        </w:tabs>
        <w:adjustRightInd w:val="0"/>
        <w:snapToGrid w:val="0"/>
        <w:spacing w:line="360" w:lineRule="auto"/>
        <w:ind w:firstLine="420" w:firstLineChars="200"/>
        <w:rPr>
          <w:rFonts w:ascii="宋体" w:hAnsi="Times New Roman" w:cs="宋体"/>
        </w:rPr>
      </w:pPr>
      <w:r>
        <w:rPr>
          <w:rFonts w:hint="eastAsia" w:ascii="宋体" w:hAnsi="Times New Roman" w:cs="宋体"/>
        </w:rPr>
        <w:t>9.2响应文件的构成应符合法律法规及询价</w:t>
      </w:r>
      <w:r>
        <w:rPr>
          <w:rFonts w:hint="eastAsia" w:ascii="宋体" w:hAnsi="宋体" w:cs="宋体"/>
          <w:color w:val="000000"/>
        </w:rPr>
        <w:t>文件</w:t>
      </w:r>
      <w:r>
        <w:rPr>
          <w:rFonts w:hint="eastAsia" w:ascii="宋体" w:hAnsi="Times New Roman" w:cs="宋体"/>
        </w:rPr>
        <w:t>的要求。</w:t>
      </w:r>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10.响应文件的编写</w:t>
      </w:r>
    </w:p>
    <w:p>
      <w:pPr>
        <w:adjustRightInd w:val="0"/>
        <w:snapToGrid w:val="0"/>
        <w:spacing w:line="360" w:lineRule="auto"/>
        <w:ind w:firstLine="420" w:firstLineChars="200"/>
        <w:rPr>
          <w:rFonts w:ascii="宋体" w:hAnsi="Times New Roman" w:cs="宋体"/>
          <w:b/>
        </w:rPr>
      </w:pPr>
      <w:r>
        <w:rPr>
          <w:rFonts w:hint="eastAsia" w:ascii="宋体" w:hAnsi="宋体" w:cs="宋体"/>
        </w:rPr>
        <w:t>10.1供应商</w:t>
      </w:r>
      <w:r>
        <w:rPr>
          <w:rFonts w:hint="eastAsia" w:ascii="宋体" w:hAnsi="宋体" w:cs="宋体"/>
          <w:lang w:eastAsia="zh-TW"/>
        </w:rPr>
        <w:t>应完整</w:t>
      </w:r>
      <w:r>
        <w:rPr>
          <w:rFonts w:hint="eastAsia" w:ascii="宋体" w:hAnsi="宋体" w:cs="宋体"/>
        </w:rPr>
        <w:t>、真实、准确</w:t>
      </w:r>
      <w:r>
        <w:rPr>
          <w:rFonts w:hint="eastAsia" w:ascii="宋体" w:hAnsi="宋体" w:cs="宋体"/>
          <w:lang w:eastAsia="zh-TW"/>
        </w:rPr>
        <w:t>地填写</w:t>
      </w:r>
      <w:r>
        <w:rPr>
          <w:rFonts w:hint="eastAsia" w:ascii="宋体" w:hAnsi="宋体" w:cs="宋体"/>
        </w:rPr>
        <w:t>询价</w:t>
      </w:r>
      <w:r>
        <w:rPr>
          <w:rFonts w:hint="eastAsia" w:ascii="宋体" w:hAnsi="宋体" w:cs="宋体"/>
          <w:color w:val="000000"/>
        </w:rPr>
        <w:t>文件</w:t>
      </w:r>
      <w:r>
        <w:rPr>
          <w:rFonts w:hint="eastAsia" w:ascii="宋体" w:hAnsi="宋体" w:cs="宋体"/>
          <w:lang w:eastAsia="zh-TW"/>
        </w:rPr>
        <w:t>中提供的</w:t>
      </w:r>
      <w:r>
        <w:rPr>
          <w:rFonts w:hint="eastAsia" w:ascii="宋体" w:hAnsi="宋体" w:cs="宋体"/>
        </w:rPr>
        <w:t>询价响应</w:t>
      </w:r>
      <w:r>
        <w:rPr>
          <w:rFonts w:hint="eastAsia" w:ascii="宋体" w:hAnsi="宋体" w:cs="宋体"/>
          <w:lang w:eastAsia="zh-TW"/>
        </w:rPr>
        <w:t>函、报价表以及</w:t>
      </w:r>
      <w:r>
        <w:rPr>
          <w:rFonts w:hint="eastAsia" w:ascii="宋体" w:hAnsi="宋体" w:cs="宋体"/>
        </w:rPr>
        <w:t>询价</w:t>
      </w:r>
      <w:r>
        <w:rPr>
          <w:rFonts w:hint="eastAsia" w:ascii="宋体" w:hAnsi="宋体" w:cs="宋体"/>
          <w:color w:val="000000"/>
        </w:rPr>
        <w:t>文件</w:t>
      </w:r>
      <w:r>
        <w:rPr>
          <w:rFonts w:hint="eastAsia" w:ascii="宋体" w:hAnsi="宋体" w:cs="宋体"/>
          <w:lang w:eastAsia="zh-TW"/>
        </w:rPr>
        <w:t>中规定的其它内容。</w:t>
      </w:r>
    </w:p>
    <w:p>
      <w:pPr>
        <w:adjustRightInd w:val="0"/>
        <w:snapToGrid w:val="0"/>
        <w:spacing w:line="360" w:lineRule="auto"/>
        <w:ind w:firstLine="420" w:firstLineChars="200"/>
        <w:outlineLvl w:val="2"/>
        <w:rPr>
          <w:rFonts w:ascii="宋体" w:hAnsi="Times New Roman" w:cs="宋体"/>
          <w:lang w:eastAsia="zh-TW"/>
        </w:rPr>
      </w:pPr>
      <w:r>
        <w:rPr>
          <w:rFonts w:hint="eastAsia" w:ascii="宋体" w:hAnsi="宋体" w:cs="宋体"/>
        </w:rPr>
        <w:t>10.2</w:t>
      </w:r>
      <w:r>
        <w:rPr>
          <w:rFonts w:hint="eastAsia" w:ascii="宋体" w:hAnsi="宋体" w:cs="宋体"/>
          <w:lang w:eastAsia="zh-TW"/>
        </w:rPr>
        <w:t>供应商应当对响应文件进行装订，对未经装订的响应文件可能发生的文件散落或缺损，由此造成的后果和责任由供应商承担。</w:t>
      </w:r>
    </w:p>
    <w:p>
      <w:pPr>
        <w:spacing w:line="360" w:lineRule="auto"/>
        <w:ind w:firstLine="420" w:firstLineChars="200"/>
        <w:rPr>
          <w:rFonts w:ascii="宋体" w:hAnsi="Times New Roman" w:cs="宋体"/>
          <w:b/>
          <w:color w:val="000000"/>
          <w:sz w:val="24"/>
        </w:rPr>
      </w:pPr>
      <w:r>
        <w:rPr>
          <w:rFonts w:hint="eastAsia" w:ascii="宋体" w:hAnsi="宋体" w:cs="宋体"/>
        </w:rPr>
        <w:t>10.3</w:t>
      </w:r>
      <w:r>
        <w:rPr>
          <w:rFonts w:hint="eastAsia" w:ascii="宋体" w:hAnsi="宋体" w:cs="宋体"/>
          <w:color w:val="000000"/>
        </w:rPr>
        <w:t>供应商必须保证提交给采购人的资料与数据的真实性，并承担相应法律责任。</w:t>
      </w:r>
    </w:p>
    <w:p>
      <w:pPr>
        <w:adjustRightInd w:val="0"/>
        <w:snapToGrid w:val="0"/>
        <w:spacing w:line="360" w:lineRule="auto"/>
        <w:ind w:firstLine="422" w:firstLineChars="200"/>
        <w:outlineLvl w:val="2"/>
        <w:rPr>
          <w:rFonts w:ascii="宋体" w:hAnsi="Times New Roman" w:cs="宋体"/>
          <w:b/>
        </w:rPr>
      </w:pPr>
      <w:r>
        <w:rPr>
          <w:rFonts w:hint="eastAsia" w:ascii="宋体" w:hAnsi="宋体" w:cs="宋体"/>
          <w:b/>
        </w:rPr>
        <w:t>11.报价组成</w:t>
      </w:r>
    </w:p>
    <w:p>
      <w:pPr>
        <w:adjustRightInd w:val="0"/>
        <w:snapToGrid w:val="0"/>
        <w:spacing w:line="360" w:lineRule="auto"/>
        <w:ind w:firstLine="420" w:firstLineChars="200"/>
        <w:rPr>
          <w:rFonts w:ascii="宋体" w:hAnsi="Times New Roman" w:cs="宋体"/>
          <w:b/>
          <w:color w:val="0000FF"/>
        </w:rPr>
      </w:pPr>
      <w:r>
        <w:rPr>
          <w:rFonts w:hint="eastAsia" w:ascii="宋体" w:hAnsi="宋体" w:cs="宋体"/>
        </w:rPr>
        <w:t>11.1本项目不接受备选方案或备选货物型号/规格，对每一种型号及规格的报价产品只允许有一个报价，本项目报价应包含但不限于以下全部费用，供应商不得再向采购人收取任何费用。主要包含产品价款、易损件、专用工具、相关配件材料、零配件价、制作费、检验费、保险费用、检测费、检定费、仓储费、运输装卸费、安装调试费、税费及一切技术和售后服务费等。</w:t>
      </w:r>
    </w:p>
    <w:p>
      <w:pPr>
        <w:adjustRightInd w:val="0"/>
        <w:snapToGrid w:val="0"/>
        <w:spacing w:line="360" w:lineRule="auto"/>
        <w:ind w:firstLine="420" w:firstLineChars="200"/>
      </w:pPr>
      <w:r>
        <w:rPr>
          <w:rFonts w:hint="eastAsia" w:ascii="宋体" w:hAnsi="宋体" w:cs="宋体"/>
        </w:rPr>
        <w:t>11.2供应商漏报的单价或每单价报价中漏报、少报的费用，视为此项费用已隐含在报价中，成交后不得再向采购人收取任何费用。</w:t>
      </w:r>
    </w:p>
    <w:p>
      <w:pPr>
        <w:adjustRightInd w:val="0"/>
        <w:snapToGrid w:val="0"/>
        <w:spacing w:line="360" w:lineRule="auto"/>
        <w:ind w:firstLine="413" w:firstLineChars="196"/>
        <w:outlineLvl w:val="2"/>
        <w:rPr>
          <w:rFonts w:ascii="宋体" w:hAnsi="Times New Roman" w:cs="宋体"/>
          <w:b/>
        </w:rPr>
      </w:pPr>
      <w:bookmarkStart w:id="24" w:name="_Toc378586971"/>
      <w:r>
        <w:rPr>
          <w:rFonts w:hint="eastAsia" w:ascii="宋体" w:hAnsi="宋体" w:cs="宋体"/>
          <w:b/>
        </w:rPr>
        <w:t>12</w:t>
      </w:r>
      <w:bookmarkEnd w:id="24"/>
      <w:r>
        <w:rPr>
          <w:rFonts w:hint="eastAsia" w:ascii="宋体" w:hAnsi="宋体" w:cs="宋体"/>
          <w:b/>
        </w:rPr>
        <w:t>.供应商约束</w:t>
      </w:r>
    </w:p>
    <w:p>
      <w:pPr>
        <w:adjustRightInd w:val="0"/>
        <w:snapToGrid w:val="0"/>
        <w:spacing w:line="360" w:lineRule="auto"/>
        <w:ind w:firstLine="420" w:firstLineChars="200"/>
        <w:rPr>
          <w:rFonts w:ascii="宋体" w:hAnsi="宋体" w:cs="宋体"/>
        </w:rPr>
      </w:pPr>
      <w:bookmarkStart w:id="25" w:name="_Hlk36653371"/>
      <w:r>
        <w:rPr>
          <w:rFonts w:hint="eastAsia" w:ascii="宋体" w:hAnsi="宋体" w:cs="宋体"/>
        </w:rPr>
        <w:t>1</w:t>
      </w:r>
      <w:r>
        <w:rPr>
          <w:rFonts w:ascii="宋体" w:hAnsi="宋体" w:cs="宋体"/>
        </w:rPr>
        <w:t>2.1</w:t>
      </w:r>
      <w:bookmarkEnd w:id="25"/>
      <w:r>
        <w:rPr>
          <w:rFonts w:hint="eastAsia" w:ascii="宋体" w:hAnsi="宋体" w:cs="宋体"/>
        </w:rPr>
        <w:t>供应商存在以下情形的，将被列入供应商不良行为：</w:t>
      </w:r>
    </w:p>
    <w:p>
      <w:pPr>
        <w:adjustRightInd w:val="0"/>
        <w:snapToGrid w:val="0"/>
        <w:spacing w:line="360" w:lineRule="auto"/>
        <w:ind w:firstLine="420" w:firstLineChars="200"/>
        <w:rPr>
          <w:rFonts w:ascii="宋体" w:hAnsi="宋体" w:cs="宋体"/>
        </w:rPr>
      </w:pPr>
      <w:r>
        <w:rPr>
          <w:rFonts w:hint="eastAsia" w:ascii="宋体" w:hAnsi="宋体" w:cs="宋体"/>
        </w:rPr>
        <w:t>（1）提供虚假材料谋取中标、成交的；</w:t>
      </w:r>
    </w:p>
    <w:p>
      <w:pPr>
        <w:adjustRightInd w:val="0"/>
        <w:snapToGrid w:val="0"/>
        <w:spacing w:line="360" w:lineRule="auto"/>
        <w:ind w:firstLine="420" w:firstLineChars="200"/>
        <w:rPr>
          <w:rFonts w:ascii="宋体" w:hAnsi="宋体" w:cs="宋体"/>
        </w:rPr>
      </w:pPr>
      <w:r>
        <w:rPr>
          <w:rFonts w:hint="eastAsia" w:ascii="宋体" w:hAnsi="宋体" w:cs="宋体"/>
        </w:rPr>
        <w:t>（2）采取不正当手段诋毁、排挤其他供应商的；</w:t>
      </w:r>
    </w:p>
    <w:p>
      <w:pPr>
        <w:adjustRightInd w:val="0"/>
        <w:snapToGrid w:val="0"/>
        <w:spacing w:line="360" w:lineRule="auto"/>
        <w:ind w:firstLine="420" w:firstLineChars="200"/>
        <w:rPr>
          <w:rFonts w:ascii="宋体" w:hAnsi="宋体" w:cs="宋体"/>
        </w:rPr>
      </w:pPr>
      <w:r>
        <w:rPr>
          <w:rFonts w:hint="eastAsia" w:ascii="宋体" w:hAnsi="宋体" w:cs="宋体"/>
        </w:rPr>
        <w:t>（3）与采购人、其他供应商或者采购代理机构恶意串通的；</w:t>
      </w:r>
    </w:p>
    <w:p>
      <w:pPr>
        <w:adjustRightInd w:val="0"/>
        <w:snapToGrid w:val="0"/>
        <w:spacing w:line="360" w:lineRule="auto"/>
        <w:ind w:firstLine="420" w:firstLineChars="200"/>
        <w:rPr>
          <w:rFonts w:ascii="宋体" w:hAnsi="宋体" w:cs="宋体"/>
        </w:rPr>
      </w:pPr>
      <w:r>
        <w:rPr>
          <w:rFonts w:hint="eastAsia" w:ascii="宋体" w:hAnsi="宋体" w:cs="宋体"/>
        </w:rPr>
        <w:t>（4）向采购人、采购代理机构行贿或者提供其他不正当利益的；</w:t>
      </w:r>
    </w:p>
    <w:p>
      <w:pPr>
        <w:adjustRightInd w:val="0"/>
        <w:snapToGrid w:val="0"/>
        <w:spacing w:line="360" w:lineRule="auto"/>
        <w:ind w:firstLine="420" w:firstLineChars="200"/>
        <w:rPr>
          <w:rFonts w:ascii="宋体" w:hAnsi="宋体" w:cs="宋体"/>
        </w:rPr>
      </w:pPr>
      <w:r>
        <w:rPr>
          <w:rFonts w:hint="eastAsia" w:ascii="宋体" w:hAnsi="宋体" w:cs="宋体"/>
        </w:rPr>
        <w:t>（5）在招标采购过程中与采购人进行协商谈判的；</w:t>
      </w:r>
    </w:p>
    <w:p>
      <w:pPr>
        <w:adjustRightInd w:val="0"/>
        <w:snapToGrid w:val="0"/>
        <w:spacing w:line="360" w:lineRule="auto"/>
        <w:ind w:firstLine="420" w:firstLineChars="200"/>
        <w:rPr>
          <w:rFonts w:ascii="宋体" w:hAnsi="宋体" w:cs="宋体"/>
        </w:rPr>
      </w:pPr>
      <w:r>
        <w:rPr>
          <w:rFonts w:hint="eastAsia" w:ascii="宋体" w:hAnsi="宋体" w:cs="宋体"/>
        </w:rPr>
        <w:t>（6）拒绝有关部门监督检查或者提供虚假情况的；</w:t>
      </w:r>
    </w:p>
    <w:p>
      <w:pPr>
        <w:adjustRightInd w:val="0"/>
        <w:snapToGrid w:val="0"/>
        <w:spacing w:line="360" w:lineRule="auto"/>
        <w:ind w:firstLine="420" w:firstLineChars="200"/>
        <w:rPr>
          <w:rFonts w:ascii="宋体" w:hAnsi="宋体" w:cs="宋体"/>
        </w:rPr>
      </w:pPr>
      <w:r>
        <w:rPr>
          <w:rFonts w:ascii="宋体" w:hAnsi="宋体" w:cs="宋体"/>
        </w:rPr>
        <w:t>（</w:t>
      </w:r>
      <w:r>
        <w:rPr>
          <w:rFonts w:hint="eastAsia" w:ascii="宋体" w:hAnsi="宋体" w:cs="宋体"/>
        </w:rPr>
        <w:t>7）将中标项目转让给他人的；</w:t>
      </w:r>
    </w:p>
    <w:p>
      <w:pPr>
        <w:adjustRightInd w:val="0"/>
        <w:snapToGrid w:val="0"/>
        <w:spacing w:line="360" w:lineRule="auto"/>
        <w:ind w:firstLine="420" w:firstLineChars="200"/>
        <w:rPr>
          <w:rFonts w:ascii="宋体" w:hAnsi="宋体" w:cs="宋体"/>
        </w:rPr>
      </w:pPr>
      <w:r>
        <w:rPr>
          <w:rFonts w:ascii="宋体" w:hAnsi="宋体" w:cs="宋体"/>
        </w:rPr>
        <w:t>（</w:t>
      </w:r>
      <w:r>
        <w:rPr>
          <w:rFonts w:hint="eastAsia" w:ascii="宋体" w:hAnsi="宋体" w:cs="宋体"/>
        </w:rPr>
        <w:t>8）拒绝履行合同义务的；</w:t>
      </w:r>
    </w:p>
    <w:p>
      <w:pPr>
        <w:adjustRightInd w:val="0"/>
        <w:snapToGrid w:val="0"/>
        <w:spacing w:line="360" w:lineRule="auto"/>
        <w:ind w:firstLine="420" w:firstLineChars="200"/>
        <w:rPr>
          <w:rFonts w:ascii="宋体" w:hAnsi="宋体" w:cs="宋体"/>
        </w:rPr>
      </w:pPr>
      <w:r>
        <w:rPr>
          <w:rFonts w:hint="eastAsia" w:ascii="宋体" w:hAnsi="宋体" w:cs="宋体"/>
        </w:rPr>
        <w:t>供应商有前款第（1）至（5）项情形之一的，中标、成交无效。</w:t>
      </w:r>
    </w:p>
    <w:p>
      <w:pPr>
        <w:adjustRightInd w:val="0"/>
        <w:snapToGrid w:val="0"/>
        <w:spacing w:line="360" w:lineRule="auto"/>
        <w:ind w:firstLine="420" w:firstLineChars="200"/>
        <w:rPr>
          <w:rFonts w:ascii="宋体" w:hAnsi="宋体" w:cs="宋体"/>
        </w:rPr>
      </w:pPr>
      <w:r>
        <w:rPr>
          <w:rFonts w:hint="eastAsia" w:ascii="宋体" w:hAnsi="宋体" w:cs="宋体"/>
        </w:rPr>
        <w:t>1</w:t>
      </w:r>
      <w:r>
        <w:rPr>
          <w:rFonts w:ascii="宋体" w:hAnsi="宋体" w:cs="宋体"/>
        </w:rPr>
        <w:t>2.2</w:t>
      </w:r>
      <w:r>
        <w:rPr>
          <w:rFonts w:hint="eastAsia" w:ascii="宋体" w:hAnsi="宋体" w:cs="宋体"/>
        </w:rPr>
        <w:t>供应商若存在不良行为，本单位可终止项目合同，或曝光其不良行为，或禁止该供应商一至三年内不得参与本单位的校内采购活动。</w:t>
      </w:r>
    </w:p>
    <w:p>
      <w:pPr>
        <w:tabs>
          <w:tab w:val="left" w:pos="1232"/>
        </w:tabs>
        <w:snapToGrid w:val="0"/>
        <w:spacing w:line="360" w:lineRule="auto"/>
        <w:ind w:firstLine="413" w:firstLineChars="196"/>
        <w:rPr>
          <w:rFonts w:ascii="宋体" w:hAnsi="Times New Roman" w:cs="宋体"/>
          <w:b/>
        </w:rPr>
      </w:pPr>
      <w:r>
        <w:rPr>
          <w:rFonts w:hint="eastAsia" w:ascii="宋体" w:hAnsi="宋体" w:cs="宋体"/>
          <w:b/>
        </w:rPr>
        <w:t>13.询价有效期</w:t>
      </w:r>
    </w:p>
    <w:p>
      <w:pPr>
        <w:tabs>
          <w:tab w:val="left" w:pos="1232"/>
        </w:tabs>
        <w:snapToGrid w:val="0"/>
        <w:spacing w:line="360" w:lineRule="auto"/>
        <w:ind w:firstLine="411" w:firstLineChars="196"/>
        <w:rPr>
          <w:rFonts w:ascii="宋体" w:hAnsi="Times New Roman" w:cs="宋体"/>
          <w:b/>
        </w:rPr>
      </w:pPr>
      <w:r>
        <w:rPr>
          <w:rFonts w:hint="eastAsia" w:ascii="宋体" w:hAnsi="宋体" w:cs="宋体"/>
        </w:rPr>
        <w:t>13.1响应文件在询价开始时间后90天内有效。</w:t>
      </w:r>
    </w:p>
    <w:p>
      <w:pPr>
        <w:tabs>
          <w:tab w:val="left" w:pos="1232"/>
        </w:tabs>
        <w:snapToGrid w:val="0"/>
        <w:spacing w:line="360" w:lineRule="auto"/>
        <w:ind w:firstLine="420" w:firstLineChars="200"/>
        <w:rPr>
          <w:rFonts w:ascii="宋体" w:hAnsi="Times New Roman" w:cs="宋体"/>
        </w:rPr>
      </w:pPr>
      <w:r>
        <w:rPr>
          <w:rFonts w:hint="eastAsia" w:ascii="宋体" w:hAnsi="宋体" w:cs="宋体"/>
        </w:rPr>
        <w:t>13.2在特殊情况下，采购人可于询价有效期满之前要求供应商延长有效期，延期要求与答复均应以书面形式提交。供应商可以拒绝上述要求，同意延期供应商原询价有效期内的权利及责任不改变，并相应延续；</w:t>
      </w:r>
    </w:p>
    <w:p>
      <w:pPr>
        <w:tabs>
          <w:tab w:val="left" w:pos="1232"/>
        </w:tabs>
        <w:snapToGrid w:val="0"/>
        <w:spacing w:line="360" w:lineRule="auto"/>
        <w:ind w:firstLine="411" w:firstLineChars="196"/>
        <w:rPr>
          <w:rFonts w:ascii="宋体" w:hAnsi="Times New Roman" w:cs="宋体"/>
        </w:rPr>
      </w:pPr>
      <w:r>
        <w:rPr>
          <w:rFonts w:hint="eastAsia" w:ascii="宋体" w:hAnsi="宋体" w:cs="宋体"/>
        </w:rPr>
        <w:t>13.3询价有效期比规定期限短的将被视为非响应询价予以拒绝。</w:t>
      </w:r>
    </w:p>
    <w:p>
      <w:pPr>
        <w:tabs>
          <w:tab w:val="left" w:pos="1232"/>
        </w:tabs>
        <w:snapToGrid w:val="0"/>
        <w:spacing w:line="360" w:lineRule="auto"/>
        <w:ind w:firstLine="413" w:firstLineChars="196"/>
        <w:rPr>
          <w:rFonts w:ascii="宋体" w:hAnsi="Times New Roman" w:cs="宋体"/>
          <w:b/>
        </w:rPr>
      </w:pPr>
      <w:r>
        <w:rPr>
          <w:rFonts w:hint="eastAsia" w:ascii="宋体" w:hAnsi="宋体" w:cs="宋体"/>
          <w:b/>
        </w:rPr>
        <w:t>14.响应文件的式样和签署</w:t>
      </w:r>
    </w:p>
    <w:p>
      <w:pPr>
        <w:snapToGrid w:val="0"/>
        <w:spacing w:line="360" w:lineRule="auto"/>
        <w:ind w:firstLine="420" w:firstLineChars="200"/>
        <w:rPr>
          <w:rFonts w:ascii="宋体" w:hAnsi="Times New Roman" w:cs="宋体"/>
          <w:color w:val="000000"/>
        </w:rPr>
      </w:pPr>
      <w:r>
        <w:rPr>
          <w:rFonts w:hint="eastAsia" w:ascii="宋体" w:hAnsi="宋体" w:cs="宋体"/>
          <w:color w:val="000000"/>
        </w:rPr>
        <w:t>14.1响应文件</w:t>
      </w:r>
      <w:r>
        <w:rPr>
          <w:rFonts w:hint="eastAsia" w:ascii="宋体" w:hAnsi="宋体" w:cs="宋体"/>
          <w:b/>
          <w:color w:val="000000"/>
        </w:rPr>
        <w:t>正本一份，副本二份（封面注明供应商名称和项目编号）</w:t>
      </w:r>
      <w:r>
        <w:rPr>
          <w:rFonts w:hint="eastAsia" w:ascii="宋体" w:hAnsi="宋体" w:cs="宋体"/>
          <w:color w:val="000000"/>
        </w:rPr>
        <w:t>，在每一份响应文件上注明</w:t>
      </w:r>
      <w:r>
        <w:rPr>
          <w:rFonts w:hint="eastAsia" w:ascii="宋体" w:hAnsi="Times New Roman" w:cs="宋体"/>
          <w:color w:val="000000"/>
        </w:rPr>
        <w:t>“</w:t>
      </w:r>
      <w:r>
        <w:rPr>
          <w:rFonts w:hint="eastAsia" w:ascii="宋体" w:hAnsi="宋体" w:cs="宋体"/>
          <w:color w:val="000000"/>
        </w:rPr>
        <w:t>正本</w:t>
      </w:r>
      <w:r>
        <w:rPr>
          <w:rFonts w:hint="eastAsia" w:ascii="宋体" w:hAnsi="Times New Roman" w:cs="宋体"/>
          <w:color w:val="000000"/>
        </w:rPr>
        <w:t>”</w:t>
      </w:r>
      <w:r>
        <w:rPr>
          <w:rFonts w:hint="eastAsia" w:ascii="宋体" w:hAnsi="宋体" w:cs="宋体"/>
          <w:color w:val="000000"/>
        </w:rPr>
        <w:t>或</w:t>
      </w:r>
      <w:r>
        <w:rPr>
          <w:rFonts w:hint="eastAsia" w:ascii="宋体" w:hAnsi="Times New Roman" w:cs="宋体"/>
          <w:color w:val="000000"/>
        </w:rPr>
        <w:t>“</w:t>
      </w:r>
      <w:r>
        <w:rPr>
          <w:rFonts w:hint="eastAsia" w:ascii="宋体" w:hAnsi="宋体" w:cs="宋体"/>
          <w:color w:val="000000"/>
        </w:rPr>
        <w:t>副本</w:t>
      </w:r>
      <w:r>
        <w:rPr>
          <w:rFonts w:hint="eastAsia" w:ascii="宋体" w:hAnsi="Times New Roman" w:cs="宋体"/>
          <w:color w:val="000000"/>
        </w:rPr>
        <w:t>”</w:t>
      </w:r>
      <w:r>
        <w:rPr>
          <w:rFonts w:hint="eastAsia" w:ascii="宋体" w:hAnsi="宋体" w:cs="宋体"/>
          <w:color w:val="000000"/>
        </w:rPr>
        <w:t>字样；正本和副本内容有差异，以正本为准；</w:t>
      </w:r>
    </w:p>
    <w:p>
      <w:pPr>
        <w:snapToGrid w:val="0"/>
        <w:spacing w:line="360" w:lineRule="auto"/>
        <w:rPr>
          <w:rFonts w:ascii="宋体" w:hAnsi="Times New Roman" w:cs="宋体"/>
          <w:color w:val="000000"/>
        </w:rPr>
      </w:pPr>
      <w:r>
        <w:rPr>
          <w:rFonts w:hint="eastAsia" w:ascii="宋体" w:hAnsi="宋体" w:cs="宋体"/>
          <w:color w:val="000000"/>
        </w:rPr>
        <w:t xml:space="preserve">    14.2响应文件正本均须用不褪色墨水书写或打印，由法定代表人或其授权代表在指定位置签字盖章；</w:t>
      </w:r>
    </w:p>
    <w:p>
      <w:pPr>
        <w:snapToGrid w:val="0"/>
        <w:spacing w:line="360" w:lineRule="auto"/>
        <w:rPr>
          <w:rFonts w:ascii="宋体" w:hAnsi="Times New Roman" w:cs="宋体"/>
          <w:color w:val="000000"/>
        </w:rPr>
      </w:pPr>
      <w:r>
        <w:rPr>
          <w:rFonts w:hint="eastAsia" w:ascii="宋体" w:hAnsi="宋体" w:cs="宋体"/>
          <w:color w:val="000000"/>
        </w:rPr>
        <w:t xml:space="preserve">    14.3响应文件副本的所有资料都可以用正本复印而成；</w:t>
      </w:r>
    </w:p>
    <w:p>
      <w:pPr>
        <w:snapToGrid w:val="0"/>
        <w:spacing w:line="360" w:lineRule="auto"/>
        <w:rPr>
          <w:rFonts w:ascii="宋体" w:hAnsi="Times New Roman" w:cs="宋体"/>
          <w:color w:val="000000"/>
        </w:rPr>
      </w:pPr>
      <w:r>
        <w:rPr>
          <w:rFonts w:hint="eastAsia" w:ascii="宋体" w:hAnsi="宋体" w:cs="宋体"/>
          <w:color w:val="000000"/>
        </w:rPr>
        <w:t xml:space="preserve">    14.4响应文件正本及所有副本的封面均须加盖公章；</w:t>
      </w:r>
    </w:p>
    <w:p>
      <w:pPr>
        <w:snapToGrid w:val="0"/>
        <w:spacing w:line="360" w:lineRule="auto"/>
        <w:rPr>
          <w:rFonts w:ascii="宋体" w:hAnsi="Times New Roman" w:cs="宋体"/>
          <w:color w:val="000000"/>
        </w:rPr>
      </w:pPr>
      <w:r>
        <w:rPr>
          <w:rFonts w:hint="eastAsia" w:ascii="宋体" w:hAnsi="宋体" w:cs="宋体"/>
          <w:color w:val="000000"/>
        </w:rPr>
        <w:t xml:space="preserve">    14.5传真和邮件的响应文件将被拒绝。</w:t>
      </w:r>
    </w:p>
    <w:p>
      <w:pPr>
        <w:adjustRightInd w:val="0"/>
        <w:snapToGrid w:val="0"/>
        <w:spacing w:line="360" w:lineRule="auto"/>
        <w:rPr>
          <w:rFonts w:ascii="宋体" w:hAnsi="Times New Roman" w:cs="宋体"/>
        </w:rPr>
      </w:pPr>
    </w:p>
    <w:p>
      <w:pPr>
        <w:pStyle w:val="3"/>
        <w:adjustRightInd w:val="0"/>
        <w:snapToGrid w:val="0"/>
        <w:spacing w:line="360" w:lineRule="auto"/>
        <w:jc w:val="center"/>
        <w:rPr>
          <w:sz w:val="30"/>
          <w:szCs w:val="30"/>
        </w:rPr>
      </w:pPr>
      <w:bookmarkStart w:id="26" w:name="_Toc6491"/>
      <w:bookmarkStart w:id="27" w:name="_Toc454458056"/>
      <w:bookmarkStart w:id="28" w:name="_Toc448133312"/>
      <w:bookmarkStart w:id="29" w:name="_Toc453493035"/>
      <w:r>
        <w:rPr>
          <w:rFonts w:hint="eastAsia" w:cs="宋体"/>
          <w:sz w:val="30"/>
          <w:szCs w:val="30"/>
        </w:rPr>
        <w:t>四、响应文件的递交</w:t>
      </w:r>
      <w:bookmarkEnd w:id="26"/>
      <w:bookmarkEnd w:id="27"/>
      <w:bookmarkEnd w:id="28"/>
      <w:bookmarkEnd w:id="29"/>
    </w:p>
    <w:p>
      <w:pPr>
        <w:autoSpaceDE w:val="0"/>
        <w:autoSpaceDN w:val="0"/>
        <w:adjustRightInd w:val="0"/>
        <w:snapToGrid w:val="0"/>
        <w:spacing w:line="360" w:lineRule="auto"/>
        <w:ind w:firstLine="413" w:firstLineChars="196"/>
        <w:jc w:val="left"/>
        <w:rPr>
          <w:rFonts w:ascii="宋体" w:hAnsi="Times New Roman" w:cs="宋体"/>
          <w:b/>
          <w:lang w:eastAsia="zh-TW"/>
        </w:rPr>
      </w:pPr>
      <w:r>
        <w:rPr>
          <w:rFonts w:hint="eastAsia" w:ascii="宋体" w:hAnsi="宋体" w:cs="宋体"/>
          <w:b/>
          <w:lang w:eastAsia="zh-TW"/>
        </w:rPr>
        <w:t>1</w:t>
      </w:r>
      <w:r>
        <w:rPr>
          <w:rFonts w:hint="eastAsia" w:ascii="宋体" w:hAnsi="宋体" w:cs="宋体"/>
          <w:b/>
        </w:rPr>
        <w:t>5</w:t>
      </w:r>
      <w:r>
        <w:rPr>
          <w:rFonts w:hint="eastAsia" w:ascii="宋体" w:hAnsi="Times New Roman" w:cs="宋体"/>
          <w:b/>
          <w:lang w:eastAsia="zh-TW"/>
        </w:rPr>
        <w:t>.</w:t>
      </w:r>
      <w:r>
        <w:rPr>
          <w:rFonts w:hint="eastAsia" w:ascii="宋体" w:hAnsi="宋体" w:cs="宋体"/>
          <w:b/>
          <w:lang w:eastAsia="zh-TW"/>
        </w:rPr>
        <w:t>响应文件的密封和标记</w:t>
      </w:r>
    </w:p>
    <w:p>
      <w:pPr>
        <w:autoSpaceDE w:val="0"/>
        <w:autoSpaceDN w:val="0"/>
        <w:adjustRightInd w:val="0"/>
        <w:snapToGrid w:val="0"/>
        <w:spacing w:line="360" w:lineRule="auto"/>
        <w:ind w:firstLine="411" w:firstLineChars="196"/>
        <w:jc w:val="left"/>
        <w:rPr>
          <w:rFonts w:ascii="宋体" w:hAnsi="Times New Roman" w:cs="宋体"/>
          <w:lang w:eastAsia="zh-TW"/>
        </w:rPr>
      </w:pPr>
      <w:r>
        <w:rPr>
          <w:rFonts w:hint="eastAsia" w:ascii="宋体" w:hAnsi="宋体" w:cs="宋体"/>
        </w:rPr>
        <w:t>15.1</w:t>
      </w:r>
      <w:r>
        <w:rPr>
          <w:rFonts w:hint="eastAsia" w:ascii="宋体" w:hAnsi="宋体" w:cs="宋体"/>
          <w:lang w:eastAsia="zh-TW"/>
        </w:rPr>
        <w:t>正本和副本响应文件一起封装，封口处加盖公章；</w:t>
      </w:r>
    </w:p>
    <w:p>
      <w:pPr>
        <w:autoSpaceDE w:val="0"/>
        <w:autoSpaceDN w:val="0"/>
        <w:adjustRightInd w:val="0"/>
        <w:snapToGrid w:val="0"/>
        <w:spacing w:line="360" w:lineRule="auto"/>
        <w:ind w:firstLine="411" w:firstLineChars="196"/>
        <w:jc w:val="left"/>
        <w:rPr>
          <w:rFonts w:ascii="宋体" w:hAnsi="Times New Roman" w:cs="宋体"/>
          <w:lang w:eastAsia="zh-TW"/>
        </w:rPr>
      </w:pPr>
      <w:r>
        <w:rPr>
          <w:rFonts w:hint="eastAsia" w:ascii="宋体" w:hAnsi="宋体" w:cs="宋体"/>
        </w:rPr>
        <w:t>15.2</w:t>
      </w:r>
      <w:r>
        <w:rPr>
          <w:rFonts w:hint="eastAsia" w:ascii="宋体" w:hAnsi="宋体" w:cs="宋体"/>
          <w:lang w:eastAsia="zh-TW"/>
        </w:rPr>
        <w:t>注明</w:t>
      </w:r>
      <w:r>
        <w:rPr>
          <w:rFonts w:hint="eastAsia" w:ascii="宋体" w:hAnsi="宋体" w:cs="宋体"/>
        </w:rPr>
        <w:t>询价</w:t>
      </w:r>
      <w:r>
        <w:rPr>
          <w:rFonts w:hint="eastAsia" w:ascii="宋体" w:hAnsi="宋体" w:cs="宋体"/>
          <w:lang w:eastAsia="zh-TW"/>
        </w:rPr>
        <w:t>邀请函中指明的项目名称、项目编号和“在（响应文件递交截止时间）之前不得启封”的字样；</w:t>
      </w:r>
    </w:p>
    <w:p>
      <w:pPr>
        <w:autoSpaceDE w:val="0"/>
        <w:autoSpaceDN w:val="0"/>
        <w:adjustRightInd w:val="0"/>
        <w:snapToGrid w:val="0"/>
        <w:spacing w:line="360" w:lineRule="auto"/>
        <w:jc w:val="left"/>
        <w:rPr>
          <w:rFonts w:ascii="宋体" w:hAnsi="Times New Roman" w:cs="宋体"/>
          <w:lang w:eastAsia="zh-TW"/>
        </w:rPr>
      </w:pPr>
      <w:r>
        <w:rPr>
          <w:rFonts w:hint="eastAsia" w:ascii="宋体" w:hAnsi="宋体" w:cs="宋体"/>
        </w:rPr>
        <w:t xml:space="preserve">    15.3</w:t>
      </w:r>
      <w:r>
        <w:rPr>
          <w:rFonts w:hint="eastAsia" w:ascii="宋体" w:hAnsi="宋体" w:cs="宋体"/>
          <w:lang w:eastAsia="zh-TW"/>
        </w:rPr>
        <w:t>封套（使用不透明封套）应写明供应商名称和地址；</w:t>
      </w:r>
    </w:p>
    <w:p>
      <w:pPr>
        <w:autoSpaceDE w:val="0"/>
        <w:autoSpaceDN w:val="0"/>
        <w:adjustRightInd w:val="0"/>
        <w:snapToGrid w:val="0"/>
        <w:spacing w:line="360" w:lineRule="auto"/>
        <w:ind w:firstLine="420" w:firstLineChars="200"/>
        <w:jc w:val="left"/>
        <w:rPr>
          <w:rFonts w:ascii="宋体" w:hAnsi="Times New Roman" w:cs="宋体"/>
          <w:lang w:eastAsia="zh-TW"/>
        </w:rPr>
      </w:pPr>
      <w:r>
        <w:rPr>
          <w:rFonts w:hint="eastAsia" w:ascii="宋体" w:hAnsi="宋体" w:cs="宋体"/>
        </w:rPr>
        <w:t>15.4</w:t>
      </w:r>
      <w:r>
        <w:rPr>
          <w:rFonts w:hint="eastAsia" w:ascii="宋体" w:hAnsi="宋体" w:cs="宋体"/>
          <w:lang w:eastAsia="zh-TW"/>
        </w:rPr>
        <w:t>如果封套未按本须知要求密封和加写标记，采购人有权拒绝其</w:t>
      </w:r>
      <w:r>
        <w:rPr>
          <w:rFonts w:hint="eastAsia" w:ascii="宋体" w:hAnsi="宋体" w:cs="宋体"/>
        </w:rPr>
        <w:t>询价</w:t>
      </w:r>
      <w:r>
        <w:rPr>
          <w:rFonts w:hint="eastAsia" w:ascii="宋体" w:hAnsi="宋体" w:cs="宋体"/>
          <w:lang w:eastAsia="zh-TW"/>
        </w:rPr>
        <w:t>。</w:t>
      </w:r>
    </w:p>
    <w:p>
      <w:pPr>
        <w:autoSpaceDE w:val="0"/>
        <w:autoSpaceDN w:val="0"/>
        <w:adjustRightInd w:val="0"/>
        <w:snapToGrid w:val="0"/>
        <w:spacing w:line="360" w:lineRule="auto"/>
        <w:ind w:firstLine="413" w:firstLineChars="196"/>
        <w:jc w:val="left"/>
        <w:rPr>
          <w:rFonts w:ascii="宋体" w:hAnsi="Times New Roman" w:cs="宋体"/>
          <w:b/>
          <w:lang w:eastAsia="zh-TW"/>
        </w:rPr>
      </w:pPr>
      <w:r>
        <w:rPr>
          <w:rFonts w:hint="eastAsia" w:ascii="宋体" w:hAnsi="宋体" w:cs="宋体"/>
          <w:b/>
          <w:lang w:eastAsia="zh-TW"/>
        </w:rPr>
        <w:t>1</w:t>
      </w:r>
      <w:r>
        <w:rPr>
          <w:rFonts w:hint="eastAsia" w:ascii="宋体" w:hAnsi="宋体" w:cs="宋体"/>
          <w:b/>
        </w:rPr>
        <w:t>6</w:t>
      </w:r>
      <w:r>
        <w:rPr>
          <w:rFonts w:hint="eastAsia" w:ascii="宋体" w:hAnsi="Times New Roman" w:cs="宋体"/>
          <w:b/>
          <w:lang w:eastAsia="zh-TW"/>
        </w:rPr>
        <w:t>.</w:t>
      </w:r>
      <w:r>
        <w:rPr>
          <w:rFonts w:hint="eastAsia" w:ascii="宋体" w:hAnsi="宋体" w:cs="宋体"/>
          <w:b/>
          <w:lang w:eastAsia="zh-TW"/>
        </w:rPr>
        <w:t>响应文件的修改和撤回、撤销</w:t>
      </w:r>
    </w:p>
    <w:p>
      <w:pPr>
        <w:autoSpaceDE w:val="0"/>
        <w:autoSpaceDN w:val="0"/>
        <w:adjustRightInd w:val="0"/>
        <w:snapToGrid w:val="0"/>
        <w:spacing w:line="360" w:lineRule="auto"/>
        <w:ind w:firstLine="411" w:firstLineChars="196"/>
        <w:jc w:val="left"/>
        <w:rPr>
          <w:rFonts w:ascii="宋体" w:hAnsi="Times New Roman" w:cs="宋体"/>
          <w:lang w:eastAsia="zh-TW"/>
        </w:rPr>
      </w:pPr>
      <w:r>
        <w:rPr>
          <w:rFonts w:hint="eastAsia" w:ascii="宋体" w:hAnsi="宋体" w:cs="宋体"/>
        </w:rPr>
        <w:t>16.1询价</w:t>
      </w:r>
      <w:r>
        <w:rPr>
          <w:rFonts w:hint="eastAsia" w:ascii="宋体" w:hAnsi="宋体" w:cs="宋体"/>
          <w:lang w:eastAsia="zh-TW"/>
        </w:rPr>
        <w:t>开始之前，供应商可以修改或撤回已递交的响应文件，但必须提供由法定代表人或其授权代表签署的申请文件；</w:t>
      </w:r>
    </w:p>
    <w:p>
      <w:pPr>
        <w:autoSpaceDE w:val="0"/>
        <w:autoSpaceDN w:val="0"/>
        <w:adjustRightInd w:val="0"/>
        <w:snapToGrid w:val="0"/>
        <w:spacing w:line="360" w:lineRule="auto"/>
        <w:ind w:firstLine="411" w:firstLineChars="196"/>
        <w:jc w:val="left"/>
        <w:rPr>
          <w:rFonts w:ascii="宋体" w:hAnsi="Times New Roman" w:cs="宋体"/>
          <w:lang w:eastAsia="zh-TW"/>
        </w:rPr>
      </w:pPr>
      <w:r>
        <w:rPr>
          <w:rFonts w:hint="eastAsia" w:ascii="宋体" w:hAnsi="宋体" w:cs="宋体"/>
        </w:rPr>
        <w:t>16.2</w:t>
      </w:r>
      <w:r>
        <w:rPr>
          <w:rFonts w:hint="eastAsia" w:ascii="宋体" w:hAnsi="宋体" w:cs="宋体"/>
          <w:lang w:eastAsia="zh-TW"/>
        </w:rPr>
        <w:t>在</w:t>
      </w:r>
      <w:r>
        <w:rPr>
          <w:rFonts w:hint="eastAsia" w:ascii="宋体" w:hAnsi="宋体" w:cs="宋体"/>
        </w:rPr>
        <w:t>询价</w:t>
      </w:r>
      <w:r>
        <w:rPr>
          <w:rFonts w:hint="eastAsia" w:ascii="宋体" w:hAnsi="宋体" w:cs="宋体"/>
          <w:lang w:eastAsia="zh-TW"/>
        </w:rPr>
        <w:t>开始之后不允许撤回报价。</w:t>
      </w:r>
    </w:p>
    <w:p>
      <w:pPr>
        <w:autoSpaceDE w:val="0"/>
        <w:autoSpaceDN w:val="0"/>
        <w:adjustRightInd w:val="0"/>
        <w:snapToGrid w:val="0"/>
        <w:spacing w:line="360" w:lineRule="auto"/>
        <w:ind w:firstLine="411" w:firstLineChars="196"/>
        <w:jc w:val="left"/>
        <w:rPr>
          <w:rFonts w:ascii="宋体" w:hAnsi="Times New Roman" w:cs="宋体"/>
        </w:rPr>
      </w:pPr>
    </w:p>
    <w:p>
      <w:pPr>
        <w:pStyle w:val="3"/>
        <w:keepLines w:val="0"/>
        <w:widowControl/>
        <w:numPr>
          <w:ilvl w:val="0"/>
          <w:numId w:val="1"/>
        </w:numPr>
        <w:adjustRightInd w:val="0"/>
        <w:snapToGrid w:val="0"/>
        <w:spacing w:before="0" w:after="0" w:line="360" w:lineRule="auto"/>
        <w:jc w:val="center"/>
        <w:rPr>
          <w:sz w:val="30"/>
          <w:szCs w:val="30"/>
        </w:rPr>
      </w:pPr>
      <w:bookmarkStart w:id="30" w:name="_Toc448133313"/>
      <w:bookmarkStart w:id="31" w:name="_Toc26439"/>
      <w:bookmarkStart w:id="32" w:name="_Toc454458057"/>
      <w:bookmarkStart w:id="33" w:name="_Toc453493036"/>
      <w:r>
        <w:rPr>
          <w:rFonts w:hint="eastAsia" w:cs="宋体"/>
          <w:sz w:val="30"/>
          <w:szCs w:val="30"/>
        </w:rPr>
        <w:t>询价流程</w:t>
      </w:r>
      <w:bookmarkEnd w:id="30"/>
      <w:bookmarkEnd w:id="31"/>
      <w:bookmarkEnd w:id="32"/>
      <w:bookmarkEnd w:id="33"/>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17.询价小组</w:t>
      </w:r>
    </w:p>
    <w:p>
      <w:pPr>
        <w:adjustRightInd w:val="0"/>
        <w:snapToGrid w:val="0"/>
        <w:spacing w:line="360" w:lineRule="auto"/>
        <w:ind w:firstLine="420" w:firstLineChars="200"/>
        <w:rPr>
          <w:rFonts w:ascii="宋体" w:hAnsi="Times New Roman" w:cs="宋体"/>
          <w:b/>
        </w:rPr>
      </w:pPr>
      <w:r>
        <w:rPr>
          <w:rFonts w:hint="eastAsia" w:ascii="宋体" w:hAnsi="宋体" w:cs="宋体"/>
        </w:rPr>
        <w:t>17.1</w:t>
      </w:r>
      <w:r>
        <w:rPr>
          <w:rFonts w:hint="eastAsia" w:ascii="宋体" w:hAnsi="宋体" w:cs="宋体"/>
          <w:color w:val="000000"/>
        </w:rPr>
        <w:t>询价小组共3人，由</w:t>
      </w:r>
      <w:bookmarkStart w:id="34" w:name="_Hlk42790008"/>
      <w:r>
        <w:rPr>
          <w:rFonts w:hint="eastAsia" w:ascii="宋体" w:hAnsi="宋体" w:cs="宋体"/>
          <w:color w:val="000000"/>
        </w:rPr>
        <w:t>项目部门代表</w:t>
      </w:r>
      <w:bookmarkEnd w:id="34"/>
      <w:r>
        <w:rPr>
          <w:rFonts w:hint="eastAsia" w:ascii="宋体" w:hAnsi="宋体" w:cs="宋体"/>
          <w:color w:val="000000"/>
        </w:rPr>
        <w:t>及广西南宁技师学院采购项目相关专业教师中随机抽取的专家组成；</w:t>
      </w:r>
    </w:p>
    <w:p>
      <w:pPr>
        <w:adjustRightInd w:val="0"/>
        <w:snapToGrid w:val="0"/>
        <w:spacing w:line="360" w:lineRule="auto"/>
        <w:ind w:firstLine="420" w:firstLineChars="200"/>
        <w:rPr>
          <w:rFonts w:ascii="宋体" w:hAnsi="Times New Roman" w:cs="宋体"/>
          <w:lang w:eastAsia="zh-TW"/>
        </w:rPr>
      </w:pPr>
      <w:r>
        <w:rPr>
          <w:rFonts w:hint="eastAsia" w:ascii="宋体" w:hAnsi="宋体" w:cs="宋体"/>
        </w:rPr>
        <w:t>17.2询价小组名单在评审结果确定前严格保密</w:t>
      </w:r>
      <w:r>
        <w:rPr>
          <w:rFonts w:hint="eastAsia" w:ascii="宋体" w:hAnsi="宋体" w:cs="宋体"/>
          <w:lang w:eastAsia="zh-TW"/>
        </w:rPr>
        <w:t>。</w:t>
      </w:r>
      <w:r>
        <w:rPr>
          <w:rFonts w:hint="eastAsia" w:ascii="宋体" w:hAnsi="宋体" w:cs="宋体"/>
        </w:rPr>
        <w:t>评审</w:t>
      </w:r>
      <w:r>
        <w:rPr>
          <w:rFonts w:hint="eastAsia" w:ascii="宋体" w:hAnsi="宋体" w:cs="宋体"/>
          <w:lang w:eastAsia="zh-TW"/>
        </w:rPr>
        <w:t>专家有下列情形之一的，受到邀请应主动提出回避，</w:t>
      </w:r>
      <w:r>
        <w:rPr>
          <w:rFonts w:hint="eastAsia" w:ascii="宋体" w:hAnsi="宋体" w:cs="宋体"/>
          <w:color w:val="000000"/>
        </w:rPr>
        <w:t>采购人</w:t>
      </w:r>
      <w:r>
        <w:rPr>
          <w:rFonts w:hint="eastAsia" w:ascii="宋体" w:hAnsi="宋体" w:cs="宋体"/>
          <w:lang w:eastAsia="zh-TW"/>
        </w:rPr>
        <w:t>也可以要求该</w:t>
      </w:r>
      <w:r>
        <w:rPr>
          <w:rFonts w:hint="eastAsia" w:ascii="宋体" w:hAnsi="宋体" w:cs="宋体"/>
        </w:rPr>
        <w:t>评审</w:t>
      </w:r>
      <w:r>
        <w:rPr>
          <w:rFonts w:hint="eastAsia" w:ascii="宋体" w:hAnsi="宋体" w:cs="宋体"/>
          <w:lang w:eastAsia="zh-TW"/>
        </w:rPr>
        <w:t>专家回避：</w:t>
      </w:r>
    </w:p>
    <w:p>
      <w:pPr>
        <w:tabs>
          <w:tab w:val="left" w:pos="851"/>
        </w:tabs>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rPr>
        <w:t>17.2.1</w:t>
      </w:r>
      <w:r>
        <w:rPr>
          <w:rFonts w:hint="eastAsia" w:ascii="宋体" w:hAnsi="宋体" w:cs="宋体"/>
          <w:lang w:eastAsia="zh-TW"/>
        </w:rPr>
        <w:t>评标委员会中，同一部门的评审专家超过二名的；</w:t>
      </w:r>
    </w:p>
    <w:p>
      <w:pPr>
        <w:tabs>
          <w:tab w:val="left" w:pos="851"/>
        </w:tabs>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rPr>
        <w:t>17.2.2</w:t>
      </w:r>
      <w:r>
        <w:rPr>
          <w:rFonts w:hint="eastAsia" w:ascii="宋体" w:hAnsi="宋体" w:cs="宋体"/>
          <w:lang w:eastAsia="zh-TW"/>
        </w:rPr>
        <w:t>参与询价文件论证的；</w:t>
      </w:r>
    </w:p>
    <w:p>
      <w:pPr>
        <w:tabs>
          <w:tab w:val="left" w:pos="851"/>
        </w:tabs>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rPr>
        <w:t>17.2.3</w:t>
      </w:r>
      <w:r>
        <w:rPr>
          <w:rFonts w:hint="eastAsia" w:ascii="宋体" w:hAnsi="宋体" w:cs="宋体"/>
          <w:lang w:eastAsia="zh-TW"/>
        </w:rPr>
        <w:t>参加采购活动前3年内与供应商存在劳动关系；</w:t>
      </w:r>
    </w:p>
    <w:p>
      <w:pPr>
        <w:tabs>
          <w:tab w:val="left" w:pos="851"/>
        </w:tabs>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rPr>
        <w:t>17.2.4</w:t>
      </w:r>
      <w:r>
        <w:rPr>
          <w:rFonts w:hint="eastAsia" w:ascii="宋体" w:hAnsi="宋体" w:cs="宋体"/>
          <w:lang w:eastAsia="zh-TW"/>
        </w:rPr>
        <w:t>参加采购活动前3年内担任供应商的董事、监事；</w:t>
      </w:r>
    </w:p>
    <w:p>
      <w:pPr>
        <w:tabs>
          <w:tab w:val="left" w:pos="851"/>
        </w:tabs>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rPr>
        <w:t>17.2.5</w:t>
      </w:r>
      <w:r>
        <w:rPr>
          <w:rFonts w:hint="eastAsia" w:ascii="宋体" w:hAnsi="宋体" w:cs="宋体"/>
          <w:lang w:eastAsia="zh-TW"/>
        </w:rPr>
        <w:t>参加采购活动前3年内是供应商的控股股东或者实际控制人；</w:t>
      </w:r>
    </w:p>
    <w:p>
      <w:pPr>
        <w:tabs>
          <w:tab w:val="left" w:pos="851"/>
        </w:tabs>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rPr>
        <w:t>17.2.6</w:t>
      </w:r>
      <w:r>
        <w:rPr>
          <w:rFonts w:hint="eastAsia" w:ascii="宋体" w:hAnsi="宋体" w:cs="宋体"/>
          <w:lang w:eastAsia="zh-TW"/>
        </w:rPr>
        <w:t>与供应商的法定代表人或者负责人有夫妻、直系血亲、三代以内旁系血亲或者近姻亲关系；</w:t>
      </w:r>
    </w:p>
    <w:p>
      <w:pPr>
        <w:tabs>
          <w:tab w:val="left" w:pos="851"/>
        </w:tabs>
        <w:autoSpaceDE w:val="0"/>
        <w:autoSpaceDN w:val="0"/>
        <w:adjustRightInd w:val="0"/>
        <w:snapToGrid w:val="0"/>
        <w:spacing w:line="360" w:lineRule="auto"/>
        <w:ind w:firstLine="420" w:firstLineChars="200"/>
        <w:rPr>
          <w:rFonts w:ascii="宋体" w:hAnsi="Times New Roman" w:cs="宋体"/>
        </w:rPr>
      </w:pPr>
      <w:r>
        <w:rPr>
          <w:rFonts w:hint="eastAsia" w:ascii="宋体" w:hAnsi="宋体" w:cs="宋体"/>
        </w:rPr>
        <w:t>17.2.7</w:t>
      </w:r>
      <w:r>
        <w:rPr>
          <w:rFonts w:hint="eastAsia" w:ascii="宋体" w:hAnsi="宋体" w:cs="宋体"/>
          <w:lang w:eastAsia="zh-TW"/>
        </w:rPr>
        <w:t>与供应商有其他可能影响政府采购活动公平、公正进行的关系。</w:t>
      </w:r>
    </w:p>
    <w:p>
      <w:pPr>
        <w:tabs>
          <w:tab w:val="left" w:pos="851"/>
        </w:tabs>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rPr>
        <w:t>17.3询价小组成员以及评审工作有关的人员不得泄露评审情况以及评审过程中获悉的国家秘密、商业秘密。</w:t>
      </w:r>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18.询价程序</w:t>
      </w:r>
    </w:p>
    <w:p>
      <w:pPr>
        <w:tabs>
          <w:tab w:val="left" w:pos="851"/>
        </w:tabs>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18.1询价小组对响应文件进行资格、符合性审查，具体条款详见附件一《资格性及符合性审查表》，只要不满足资格性和符合性条款所列要求之一的，将被认定为无效报价。对报价有效性认定意见不一致的，询价小组按照少数服从多数原则确定。</w:t>
      </w:r>
    </w:p>
    <w:p>
      <w:pPr>
        <w:adjustRightInd w:val="0"/>
        <w:snapToGrid w:val="0"/>
        <w:spacing w:line="360" w:lineRule="auto"/>
        <w:ind w:firstLine="420" w:firstLineChars="200"/>
        <w:rPr>
          <w:rFonts w:ascii="宋体" w:hAnsi="Times New Roman" w:cs="宋体"/>
        </w:rPr>
      </w:pPr>
      <w:r>
        <w:rPr>
          <w:rFonts w:hint="eastAsia" w:ascii="宋体" w:hAnsi="宋体" w:cs="宋体"/>
        </w:rPr>
        <w:t>18.2询价小组应对响应文件的有效性、完整性和响应程度进行评审，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询价小组要求供应商澄清、说明或者更正响应文件应当以书面形式作出，供应商的澄清、说明或者更正应当由法定代表人或其授权代表签字。</w:t>
      </w:r>
    </w:p>
    <w:p>
      <w:pPr>
        <w:adjustRightInd w:val="0"/>
        <w:snapToGrid w:val="0"/>
        <w:spacing w:line="360" w:lineRule="auto"/>
        <w:ind w:firstLine="420" w:firstLineChars="200"/>
        <w:rPr>
          <w:rFonts w:ascii="宋体" w:hAnsi="Times New Roman" w:cs="宋体"/>
        </w:rPr>
      </w:pPr>
      <w:r>
        <w:rPr>
          <w:rFonts w:hint="eastAsia" w:ascii="宋体" w:hAnsi="宋体" w:cs="宋体"/>
        </w:rPr>
        <w:t>18.3在询价过程中，询价小组不得改变询价文件所确定的技术和服务等要求、评审程序、评定成交的标准和合同文本等事项。</w:t>
      </w:r>
    </w:p>
    <w:p>
      <w:pPr>
        <w:adjustRightInd w:val="0"/>
        <w:snapToGrid w:val="0"/>
        <w:spacing w:line="360" w:lineRule="auto"/>
        <w:ind w:firstLine="420" w:firstLineChars="200"/>
        <w:rPr>
          <w:rFonts w:ascii="宋体" w:hAnsi="Times New Roman" w:cs="宋体"/>
        </w:rPr>
      </w:pPr>
      <w:r>
        <w:rPr>
          <w:rFonts w:hint="eastAsia" w:ascii="宋体" w:hAnsi="宋体" w:cs="宋体"/>
        </w:rPr>
        <w:t>18.4询价小组对资格性和符合性审查合格的供应商报价进行修正和调整，得出最后评审价。</w:t>
      </w:r>
    </w:p>
    <w:p>
      <w:pPr>
        <w:adjustRightInd w:val="0"/>
        <w:snapToGrid w:val="0"/>
        <w:spacing w:line="360" w:lineRule="auto"/>
        <w:ind w:firstLine="420" w:firstLineChars="200"/>
        <w:rPr>
          <w:rFonts w:ascii="宋体" w:hAnsi="Times New Roman" w:cs="宋体"/>
        </w:rPr>
      </w:pPr>
      <w:r>
        <w:rPr>
          <w:rFonts w:hint="eastAsia" w:ascii="宋体" w:hAnsi="宋体" w:cs="宋体"/>
        </w:rPr>
        <w:t>18.5修正错误的原则如下：</w:t>
      </w:r>
    </w:p>
    <w:p>
      <w:pPr>
        <w:adjustRightInd w:val="0"/>
        <w:snapToGrid w:val="0"/>
        <w:spacing w:line="360" w:lineRule="auto"/>
        <w:ind w:firstLine="420" w:firstLineChars="200"/>
        <w:rPr>
          <w:rFonts w:ascii="宋体" w:hAnsi="Times New Roman" w:cs="宋体"/>
        </w:rPr>
      </w:pPr>
      <w:r>
        <w:rPr>
          <w:rFonts w:hint="eastAsia" w:ascii="宋体" w:hAnsi="宋体" w:cs="宋体"/>
        </w:rPr>
        <w:t>18.5.1响应文件中的大写金额和小写金额不一致的，以大写金额为准；</w:t>
      </w:r>
    </w:p>
    <w:p>
      <w:pPr>
        <w:adjustRightInd w:val="0"/>
        <w:snapToGrid w:val="0"/>
        <w:spacing w:line="360" w:lineRule="auto"/>
        <w:ind w:firstLine="420" w:firstLineChars="200"/>
        <w:rPr>
          <w:rFonts w:ascii="宋体" w:hAnsi="Times New Roman" w:cs="宋体"/>
        </w:rPr>
      </w:pPr>
      <w:r>
        <w:rPr>
          <w:rFonts w:hint="eastAsia" w:ascii="宋体" w:hAnsi="宋体" w:cs="宋体"/>
        </w:rPr>
        <w:t>18.5.2总价金额与按单价汇总金额不一致的，以单价金额计算结果为准；单价金额小数点有明显错位的，应以总价为准，并修改单价；</w:t>
      </w:r>
    </w:p>
    <w:p>
      <w:pPr>
        <w:adjustRightInd w:val="0"/>
        <w:snapToGrid w:val="0"/>
        <w:spacing w:line="360" w:lineRule="auto"/>
        <w:ind w:firstLine="420" w:firstLineChars="200"/>
        <w:rPr>
          <w:rFonts w:ascii="宋体" w:hAnsi="Times New Roman" w:cs="宋体"/>
        </w:rPr>
      </w:pPr>
      <w:r>
        <w:rPr>
          <w:rFonts w:hint="eastAsia" w:ascii="宋体" w:hAnsi="宋体" w:cs="宋体"/>
        </w:rPr>
        <w:t>18.5.3对不同文字文本响应文件的解释发生异议的，以中文文本为准；</w:t>
      </w:r>
    </w:p>
    <w:p>
      <w:pPr>
        <w:adjustRightInd w:val="0"/>
        <w:snapToGrid w:val="0"/>
        <w:spacing w:line="360" w:lineRule="auto"/>
        <w:ind w:firstLine="420" w:firstLineChars="200"/>
        <w:rPr>
          <w:rFonts w:ascii="宋体" w:hAnsi="Times New Roman" w:cs="宋体"/>
        </w:rPr>
      </w:pPr>
      <w:r>
        <w:rPr>
          <w:rFonts w:hint="eastAsia" w:ascii="宋体" w:hAnsi="宋体" w:cs="宋体"/>
        </w:rPr>
        <w:t>18.6询价小组将按照上述修正错误的方法调整报价，调整后的价格对供应商具有约束力。如果供应商不接受修正后价格，则其报价将被拒绝。</w:t>
      </w:r>
    </w:p>
    <w:p>
      <w:pPr>
        <w:adjustRightInd w:val="0"/>
        <w:snapToGrid w:val="0"/>
        <w:spacing w:line="360" w:lineRule="auto"/>
        <w:ind w:firstLine="420" w:firstLineChars="200"/>
        <w:rPr>
          <w:rFonts w:ascii="宋体" w:hAnsi="宋体" w:cs="宋体"/>
        </w:rPr>
      </w:pPr>
      <w:r>
        <w:rPr>
          <w:rFonts w:hint="eastAsia" w:ascii="宋体" w:hAnsi="宋体" w:cs="宋体"/>
        </w:rPr>
        <w:t>18.</w:t>
      </w:r>
      <w:r>
        <w:rPr>
          <w:rFonts w:ascii="宋体" w:hAnsi="宋体" w:cs="宋体"/>
        </w:rPr>
        <w:t>7</w:t>
      </w:r>
      <w:r>
        <w:rPr>
          <w:rFonts w:hint="eastAsia" w:ascii="宋体" w:hAnsi="宋体" w:cs="宋体"/>
        </w:rPr>
        <w:t>评审报告由询价小组全体人员签字认可。询价小组成员对评审报告有异议的，询价小组按照少数服从多数的原则推荐成交候选人，采购程序继续进行。对评审报告有异议的询价小组成员，应当在报告上签署不同意见并说明理由。询价小组成员拒绝在报告上签字又不书面说明其不同意见和理由的，视为同意评审报告。</w:t>
      </w:r>
    </w:p>
    <w:p>
      <w:pPr>
        <w:adjustRightInd w:val="0"/>
        <w:snapToGrid w:val="0"/>
        <w:spacing w:line="360" w:lineRule="auto"/>
        <w:ind w:firstLine="422" w:firstLineChars="200"/>
        <w:rPr>
          <w:rFonts w:ascii="宋体" w:hAnsi="宋体" w:cs="宋体"/>
          <w:b/>
          <w:bCs/>
        </w:rPr>
      </w:pPr>
      <w:bookmarkStart w:id="35" w:name="_Hlk42842751"/>
      <w:r>
        <w:rPr>
          <w:rFonts w:hint="eastAsia" w:ascii="宋体" w:hAnsi="宋体" w:cs="宋体"/>
          <w:b/>
          <w:bCs/>
        </w:rPr>
        <w:t>18.</w:t>
      </w:r>
      <w:r>
        <w:rPr>
          <w:rFonts w:ascii="宋体" w:hAnsi="宋体" w:cs="宋体"/>
          <w:b/>
          <w:bCs/>
        </w:rPr>
        <w:t>8</w:t>
      </w:r>
      <w:bookmarkEnd w:id="35"/>
      <w:r>
        <w:rPr>
          <w:rFonts w:hint="eastAsia" w:ascii="宋体" w:hAnsi="宋体" w:cs="宋体"/>
          <w:b/>
          <w:bCs/>
        </w:rPr>
        <w:t>有下列情形之一的，视为供应商串通投标，其响应无效：</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1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⑴</w:t>
      </w:r>
      <w:r>
        <w:rPr>
          <w:rFonts w:ascii="宋体" w:hAnsi="宋体" w:cs="宋体"/>
        </w:rPr>
        <w:fldChar w:fldCharType="end"/>
      </w:r>
      <w:r>
        <w:rPr>
          <w:rFonts w:hint="eastAsia" w:ascii="宋体" w:hAnsi="宋体" w:cs="宋体"/>
        </w:rPr>
        <w:t>不同供应商的响应文件由同一单位或者个人编制；</w:t>
      </w:r>
    </w:p>
    <w:p>
      <w:pPr>
        <w:adjustRightInd w:val="0"/>
        <w:snapToGrid w:val="0"/>
        <w:spacing w:line="360" w:lineRule="auto"/>
        <w:ind w:firstLine="420" w:firstLineChars="200"/>
        <w:rPr>
          <w:rFonts w:ascii="宋体" w:hAnsi="宋体" w:cs="宋体"/>
        </w:rPr>
      </w:pPr>
      <w:bookmarkStart w:id="36" w:name="_Hlk42842775"/>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2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⑵</w:t>
      </w:r>
      <w:r>
        <w:rPr>
          <w:rFonts w:ascii="宋体" w:hAnsi="宋体" w:cs="宋体"/>
        </w:rPr>
        <w:fldChar w:fldCharType="end"/>
      </w:r>
      <w:bookmarkEnd w:id="36"/>
      <w:r>
        <w:rPr>
          <w:rFonts w:hint="eastAsia" w:ascii="宋体" w:hAnsi="宋体" w:cs="宋体"/>
        </w:rPr>
        <w:t>不同供应商委托同一单位或者个人办理询价报价事宜；</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3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⑶</w:t>
      </w:r>
      <w:r>
        <w:rPr>
          <w:rFonts w:ascii="宋体" w:hAnsi="宋体" w:cs="宋体"/>
        </w:rPr>
        <w:fldChar w:fldCharType="end"/>
      </w:r>
      <w:r>
        <w:rPr>
          <w:rFonts w:hint="eastAsia" w:ascii="宋体" w:hAnsi="宋体" w:cs="宋体"/>
        </w:rPr>
        <w:t>不同供应商的响应文件载明的项目管理成员或者联系人员为同一人；</w:t>
      </w:r>
    </w:p>
    <w:p>
      <w:pPr>
        <w:adjustRightInd w:val="0"/>
        <w:snapToGrid w:val="0"/>
        <w:spacing w:line="360" w:lineRule="auto"/>
        <w:ind w:firstLine="420" w:firstLineChars="200"/>
        <w:rPr>
          <w:rFonts w:ascii="宋体" w:hAnsi="宋体" w:cs="宋体"/>
        </w:rPr>
      </w:pPr>
      <w:bookmarkStart w:id="37" w:name="_Hlk42842786"/>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4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⑷</w:t>
      </w:r>
      <w:r>
        <w:rPr>
          <w:rFonts w:ascii="宋体" w:hAnsi="宋体" w:cs="宋体"/>
        </w:rPr>
        <w:fldChar w:fldCharType="end"/>
      </w:r>
      <w:bookmarkEnd w:id="37"/>
      <w:r>
        <w:rPr>
          <w:rFonts w:hint="eastAsia" w:ascii="宋体" w:hAnsi="宋体" w:cs="宋体"/>
        </w:rPr>
        <w:t>不同供应商的响应文件异常一致或者报价呈规律性差异；</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5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⑸</w:t>
      </w:r>
      <w:r>
        <w:rPr>
          <w:rFonts w:ascii="宋体" w:hAnsi="宋体" w:cs="宋体"/>
        </w:rPr>
        <w:fldChar w:fldCharType="end"/>
      </w:r>
      <w:r>
        <w:rPr>
          <w:rFonts w:hint="eastAsia" w:ascii="宋体" w:hAnsi="宋体" w:cs="宋体"/>
        </w:rPr>
        <w:t>不同供应商的响应文件相互混装；</w:t>
      </w:r>
    </w:p>
    <w:p>
      <w:pPr>
        <w:adjustRightInd w:val="0"/>
        <w:snapToGrid w:val="0"/>
        <w:spacing w:line="360" w:lineRule="auto"/>
        <w:ind w:firstLine="422" w:firstLineChars="200"/>
        <w:rPr>
          <w:rFonts w:ascii="宋体" w:hAnsi="宋体" w:cs="宋体"/>
          <w:b/>
          <w:bCs/>
        </w:rPr>
      </w:pPr>
      <w:r>
        <w:rPr>
          <w:rFonts w:hint="eastAsia" w:ascii="宋体" w:hAnsi="宋体" w:cs="宋体"/>
          <w:b/>
          <w:bCs/>
        </w:rPr>
        <w:t>18.</w:t>
      </w:r>
      <w:r>
        <w:rPr>
          <w:rFonts w:ascii="宋体" w:hAnsi="宋体" w:cs="宋体"/>
          <w:b/>
          <w:bCs/>
        </w:rPr>
        <w:t>9</w:t>
      </w:r>
      <w:r>
        <w:rPr>
          <w:rFonts w:hint="eastAsia" w:ascii="宋体" w:hAnsi="宋体" w:cs="宋体"/>
          <w:b/>
          <w:bCs/>
        </w:rPr>
        <w:t>供应商存在下列情况之一的，报价无效</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1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⑴</w:t>
      </w:r>
      <w:r>
        <w:rPr>
          <w:rFonts w:ascii="宋体" w:hAnsi="宋体" w:cs="宋体"/>
        </w:rPr>
        <w:fldChar w:fldCharType="end"/>
      </w:r>
      <w:r>
        <w:rPr>
          <w:rFonts w:hint="eastAsia" w:ascii="宋体" w:hAnsi="宋体" w:cs="宋体"/>
        </w:rPr>
        <w:t>响应文件未按询价文件要求签署、盖章的；</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2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⑵</w:t>
      </w:r>
      <w:r>
        <w:rPr>
          <w:rFonts w:ascii="宋体" w:hAnsi="宋体" w:cs="宋体"/>
        </w:rPr>
        <w:fldChar w:fldCharType="end"/>
      </w:r>
      <w:r>
        <w:rPr>
          <w:rFonts w:hint="eastAsia" w:ascii="宋体" w:hAnsi="宋体" w:cs="宋体"/>
        </w:rPr>
        <w:t>不具备询价文件中规定的资格要求的；</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3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⑶</w:t>
      </w:r>
      <w:r>
        <w:rPr>
          <w:rFonts w:ascii="宋体" w:hAnsi="宋体" w:cs="宋体"/>
        </w:rPr>
        <w:fldChar w:fldCharType="end"/>
      </w:r>
      <w:r>
        <w:rPr>
          <w:rFonts w:hint="eastAsia" w:ascii="宋体" w:hAnsi="宋体" w:cs="宋体"/>
        </w:rPr>
        <w:t>报价超过询价文件中规定的预算金额或者最高限价的；</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4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⑷</w:t>
      </w:r>
      <w:r>
        <w:rPr>
          <w:rFonts w:ascii="宋体" w:hAnsi="宋体" w:cs="宋体"/>
        </w:rPr>
        <w:fldChar w:fldCharType="end"/>
      </w:r>
      <w:r>
        <w:rPr>
          <w:rFonts w:hint="eastAsia" w:ascii="宋体" w:hAnsi="宋体" w:cs="宋体"/>
        </w:rPr>
        <w:t>响应文件含有采购人不能接受的附加条件的；</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5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⑸</w:t>
      </w:r>
      <w:r>
        <w:rPr>
          <w:rFonts w:ascii="宋体" w:hAnsi="宋体" w:cs="宋体"/>
        </w:rPr>
        <w:fldChar w:fldCharType="end"/>
      </w:r>
      <w:r>
        <w:rPr>
          <w:rFonts w:hint="eastAsia" w:ascii="宋体" w:hAnsi="宋体" w:cs="宋体"/>
        </w:rPr>
        <w:t>法律、法规和询价文件规定的其他无效情形。</w:t>
      </w:r>
    </w:p>
    <w:p>
      <w:pPr>
        <w:adjustRightInd w:val="0"/>
        <w:snapToGrid w:val="0"/>
        <w:spacing w:line="360" w:lineRule="auto"/>
        <w:ind w:firstLine="422" w:firstLineChars="200"/>
        <w:rPr>
          <w:rFonts w:ascii="宋体" w:hAnsi="Times New Roman" w:cs="宋体"/>
          <w:b/>
          <w:bCs/>
        </w:rPr>
      </w:pPr>
      <w:r>
        <w:rPr>
          <w:rFonts w:hint="eastAsia" w:ascii="宋体" w:hAnsi="宋体" w:cs="宋体"/>
          <w:b/>
          <w:bCs/>
        </w:rPr>
        <w:t>18.</w:t>
      </w:r>
      <w:r>
        <w:rPr>
          <w:rFonts w:ascii="宋体" w:hAnsi="宋体" w:cs="宋体"/>
          <w:b/>
          <w:bCs/>
        </w:rPr>
        <w:t>10</w:t>
      </w:r>
      <w:r>
        <w:rPr>
          <w:rFonts w:hint="eastAsia" w:ascii="宋体" w:hAnsi="宋体" w:cs="宋体"/>
          <w:b/>
          <w:bCs/>
        </w:rPr>
        <w:t>在询价采购中，出现下列情形之一的，应予废标：</w:t>
      </w:r>
    </w:p>
    <w:p>
      <w:pPr>
        <w:tabs>
          <w:tab w:val="left" w:pos="851"/>
        </w:tabs>
        <w:adjustRightInd w:val="0"/>
        <w:snapToGrid w:val="0"/>
        <w:spacing w:line="360" w:lineRule="auto"/>
        <w:ind w:firstLine="420" w:firstLineChars="200"/>
        <w:rPr>
          <w:rFonts w:ascii="宋体" w:hAnsi="Times New Roman" w:cs="宋体"/>
        </w:rPr>
      </w:pPr>
      <w:bookmarkStart w:id="38" w:name="_Hlk42842654"/>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1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⑴</w:t>
      </w:r>
      <w:r>
        <w:rPr>
          <w:rFonts w:ascii="宋体" w:hAnsi="宋体" w:cs="宋体"/>
        </w:rPr>
        <w:fldChar w:fldCharType="end"/>
      </w:r>
      <w:bookmarkEnd w:id="38"/>
      <w:r>
        <w:rPr>
          <w:rFonts w:hint="eastAsia" w:ascii="宋体" w:hAnsi="宋体" w:cs="宋体"/>
        </w:rPr>
        <w:t>符合专业条件的供应商或者对询价文件实质响应的供应商不足三家的（有特别说明除外）；</w:t>
      </w:r>
    </w:p>
    <w:p>
      <w:pPr>
        <w:tabs>
          <w:tab w:val="left" w:pos="851"/>
        </w:tabs>
        <w:adjustRightInd w:val="0"/>
        <w:snapToGrid w:val="0"/>
        <w:spacing w:line="360" w:lineRule="auto"/>
        <w:ind w:firstLine="420" w:firstLineChars="200"/>
        <w:rPr>
          <w:rFonts w:ascii="宋体" w:hAnsi="Times New Roman"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2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⑵</w:t>
      </w:r>
      <w:r>
        <w:rPr>
          <w:rFonts w:ascii="宋体" w:hAnsi="宋体" w:cs="宋体"/>
        </w:rPr>
        <w:fldChar w:fldCharType="end"/>
      </w:r>
      <w:r>
        <w:rPr>
          <w:rFonts w:hint="eastAsia" w:ascii="宋体" w:hAnsi="宋体" w:cs="宋体"/>
        </w:rPr>
        <w:t>出现影响采购公正的违法、违规行为的；</w:t>
      </w:r>
    </w:p>
    <w:p>
      <w:pPr>
        <w:tabs>
          <w:tab w:val="left" w:pos="851"/>
        </w:tabs>
        <w:adjustRightInd w:val="0"/>
        <w:snapToGrid w:val="0"/>
        <w:spacing w:line="360" w:lineRule="auto"/>
        <w:ind w:firstLine="420" w:firstLineChars="200"/>
        <w:rPr>
          <w:rFonts w:ascii="宋体" w:hAnsi="Times New Roman" w:cs="宋体"/>
        </w:rPr>
      </w:pPr>
      <w:bookmarkStart w:id="39" w:name="_Hlk42842665"/>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3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⑶</w:t>
      </w:r>
      <w:r>
        <w:rPr>
          <w:rFonts w:ascii="宋体" w:hAnsi="宋体" w:cs="宋体"/>
        </w:rPr>
        <w:fldChar w:fldCharType="end"/>
      </w:r>
      <w:bookmarkEnd w:id="39"/>
      <w:r>
        <w:rPr>
          <w:rFonts w:hint="eastAsia" w:ascii="宋体" w:hAnsi="宋体" w:cs="宋体"/>
        </w:rPr>
        <w:t>供应商的报价均超过了采购预算，采购人不能支付的；</w:t>
      </w:r>
    </w:p>
    <w:p>
      <w:pPr>
        <w:tabs>
          <w:tab w:val="left" w:pos="851"/>
        </w:tabs>
        <w:adjustRightInd w:val="0"/>
        <w:snapToGrid w:val="0"/>
        <w:spacing w:line="360" w:lineRule="auto"/>
        <w:ind w:firstLine="420" w:firstLineChars="200"/>
        <w:rPr>
          <w:rFonts w:ascii="宋体" w:hAnsi="Times New Roman"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4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⑷</w:t>
      </w:r>
      <w:r>
        <w:rPr>
          <w:rFonts w:ascii="宋体" w:hAnsi="宋体" w:cs="宋体"/>
        </w:rPr>
        <w:fldChar w:fldCharType="end"/>
      </w:r>
      <w:r>
        <w:rPr>
          <w:rFonts w:hint="eastAsia" w:ascii="宋体" w:hAnsi="宋体" w:cs="宋体"/>
        </w:rPr>
        <w:t>因重大变故，采购任务取消的。</w:t>
      </w:r>
    </w:p>
    <w:p>
      <w:pPr>
        <w:tabs>
          <w:tab w:val="left" w:pos="851"/>
        </w:tabs>
        <w:adjustRightInd w:val="0"/>
        <w:snapToGrid w:val="0"/>
        <w:spacing w:line="360" w:lineRule="auto"/>
        <w:ind w:firstLine="420" w:firstLineChars="200"/>
        <w:rPr>
          <w:rFonts w:ascii="宋体" w:hAnsi="Times New Roman" w:cs="宋体"/>
        </w:rPr>
      </w:pPr>
      <w:bookmarkStart w:id="40" w:name="_Hlk42842680"/>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5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⑸</w:t>
      </w:r>
      <w:r>
        <w:rPr>
          <w:rFonts w:ascii="宋体" w:hAnsi="宋体" w:cs="宋体"/>
        </w:rPr>
        <w:fldChar w:fldCharType="end"/>
      </w:r>
      <w:bookmarkEnd w:id="40"/>
      <w:r>
        <w:rPr>
          <w:rFonts w:hint="eastAsia" w:ascii="宋体" w:hAnsi="宋体" w:cs="宋体"/>
        </w:rPr>
        <w:t>响应文件未完全满足询价文件的实质性条款（即标注▲号条款）无负偏离的。</w:t>
      </w:r>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19.评定成交的评审方法和标准</w:t>
      </w:r>
    </w:p>
    <w:p>
      <w:pPr>
        <w:adjustRightInd w:val="0"/>
        <w:snapToGrid w:val="0"/>
        <w:spacing w:line="360" w:lineRule="auto"/>
        <w:ind w:firstLine="420" w:firstLineChars="200"/>
        <w:rPr>
          <w:rFonts w:ascii="宋体" w:hAnsi="Times New Roman" w:cs="宋体"/>
          <w:b/>
          <w:color w:val="FF0000"/>
        </w:rPr>
      </w:pPr>
      <w:r>
        <w:rPr>
          <w:rFonts w:hint="eastAsia" w:ascii="宋体" w:hAnsi="宋体" w:cs="宋体"/>
        </w:rPr>
        <w:t>19.1本项目采用最低评标价法确定成交供应商，即在质量和服务均能满足询价文件实质性响应要求前提下，提出最低报价（</w:t>
      </w:r>
      <w:r>
        <w:rPr>
          <w:rFonts w:hint="eastAsia" w:ascii="宋体" w:hAnsi="宋体" w:cs="宋体"/>
          <w:lang w:eastAsia="zh-TW"/>
        </w:rPr>
        <w:t>指修正及价格扣除后的</w:t>
      </w:r>
      <w:r>
        <w:rPr>
          <w:rFonts w:hint="eastAsia" w:ascii="宋体" w:hAnsi="宋体" w:cs="宋体"/>
        </w:rPr>
        <w:t>价格，即评标</w:t>
      </w:r>
      <w:r>
        <w:rPr>
          <w:rFonts w:hint="eastAsia" w:ascii="宋体" w:hAnsi="宋体" w:cs="宋体"/>
          <w:lang w:eastAsia="zh-TW"/>
        </w:rPr>
        <w:t>价</w:t>
      </w:r>
      <w:r>
        <w:rPr>
          <w:rFonts w:hint="eastAsia" w:ascii="宋体" w:hAnsi="宋体" w:cs="宋体"/>
        </w:rPr>
        <w:t>）的供应商作为成交供应商。按照最后报</w:t>
      </w:r>
      <w:r>
        <w:rPr>
          <w:rFonts w:hint="eastAsia" w:ascii="宋体" w:hAnsi="宋体" w:cs="宋体"/>
          <w:lang w:eastAsia="zh-TW"/>
        </w:rPr>
        <w:t>价</w:t>
      </w:r>
      <w:r>
        <w:rPr>
          <w:rFonts w:hint="eastAsia" w:ascii="宋体" w:hAnsi="宋体" w:cs="宋体"/>
        </w:rPr>
        <w:t>由低到高顺序推荐三名成交候选人。</w:t>
      </w:r>
    </w:p>
    <w:p>
      <w:pPr>
        <w:autoSpaceDE w:val="0"/>
        <w:autoSpaceDN w:val="0"/>
        <w:adjustRightInd w:val="0"/>
        <w:snapToGrid w:val="0"/>
        <w:spacing w:line="360" w:lineRule="auto"/>
        <w:ind w:firstLine="420" w:firstLineChars="200"/>
        <w:rPr>
          <w:rFonts w:ascii="宋体" w:hAnsi="Times New Roman" w:cs="宋体"/>
        </w:rPr>
      </w:pPr>
      <w:r>
        <w:rPr>
          <w:rFonts w:hint="eastAsia" w:ascii="宋体" w:hAnsi="宋体" w:cs="宋体"/>
        </w:rPr>
        <w:t>19.2询价小组认为供应商的报价或者某些分项报价明显不合理或者低于成本，有可能影响货物及服务质量和不能诚信履约的，供应商应当在询价小组发出报价澄清要求的时间内提供书面文件予以说明，并提交由供应商授权代表签字的相关证明文件，否则，以无效报价处理。</w:t>
      </w:r>
    </w:p>
    <w:p>
      <w:pPr>
        <w:autoSpaceDE w:val="0"/>
        <w:autoSpaceDN w:val="0"/>
        <w:adjustRightInd w:val="0"/>
        <w:snapToGrid w:val="0"/>
        <w:spacing w:line="360" w:lineRule="auto"/>
        <w:ind w:firstLine="420" w:firstLineChars="200"/>
        <w:rPr>
          <w:rFonts w:ascii="宋体" w:hAnsi="Times New Roman" w:cs="宋体"/>
        </w:rPr>
      </w:pPr>
      <w:r>
        <w:rPr>
          <w:rFonts w:hint="eastAsia" w:ascii="宋体" w:hAnsi="宋体" w:cs="宋体"/>
        </w:rPr>
        <w:t>19.3</w:t>
      </w:r>
      <w:r>
        <w:rPr>
          <w:rFonts w:hint="eastAsia" w:ascii="宋体" w:hAnsi="宋体" w:cs="宋体"/>
          <w:color w:val="000000"/>
        </w:rPr>
        <w:t>评审价相同的，按下列顺序比较确定：</w:t>
      </w:r>
      <w:r>
        <w:rPr>
          <w:rFonts w:hint="eastAsia" w:ascii="宋体" w:hAnsi="宋体" w:cs="宋体"/>
        </w:rPr>
        <w:t>（1）节能产品；（2）环保产品；如以上都相同的，名次由评标委员会抽签确定。</w:t>
      </w:r>
      <w:r>
        <w:rPr>
          <w:rFonts w:hint="eastAsia" w:ascii="宋体" w:hAnsi="宋体" w:cs="宋体"/>
          <w:lang w:eastAsia="zh-TW"/>
        </w:rPr>
        <w:t>评标委员会认为，排在前面的</w:t>
      </w:r>
      <w:r>
        <w:rPr>
          <w:rFonts w:hint="eastAsia" w:ascii="宋体" w:hAnsi="宋体" w:cs="宋体"/>
        </w:rPr>
        <w:t>成交</w:t>
      </w:r>
      <w:r>
        <w:rPr>
          <w:rFonts w:hint="eastAsia" w:ascii="宋体" w:hAnsi="宋体" w:cs="宋体"/>
          <w:lang w:eastAsia="zh-TW"/>
        </w:rPr>
        <w:t>候选人的最低投标价或者某些分项报价明显不合理或者低于成本，有可能影响商品质量和不能诚信履约的，应当要求其在规定的期限内提供书面文件予以解释说明，并提交相关证明材料</w:t>
      </w:r>
      <w:r>
        <w:rPr>
          <w:rFonts w:hint="eastAsia" w:ascii="宋体" w:hAnsi="宋体" w:cs="宋体"/>
        </w:rPr>
        <w:t>，</w:t>
      </w:r>
      <w:r>
        <w:rPr>
          <w:rFonts w:hint="eastAsia" w:ascii="宋体" w:hAnsi="宋体" w:cs="宋体"/>
          <w:lang w:eastAsia="zh-TW"/>
        </w:rPr>
        <w:t>否则评标委员会可以取消该供应商的</w:t>
      </w:r>
      <w:r>
        <w:rPr>
          <w:rFonts w:hint="eastAsia" w:ascii="宋体" w:hAnsi="宋体" w:cs="宋体"/>
        </w:rPr>
        <w:t>成交</w:t>
      </w:r>
      <w:r>
        <w:rPr>
          <w:rFonts w:hint="eastAsia" w:ascii="宋体" w:hAnsi="宋体" w:cs="宋体"/>
          <w:lang w:eastAsia="zh-TW"/>
        </w:rPr>
        <w:t>候选资格，按顺序由排在后面的</w:t>
      </w:r>
      <w:r>
        <w:rPr>
          <w:rFonts w:hint="eastAsia" w:ascii="宋体" w:hAnsi="宋体" w:cs="宋体"/>
        </w:rPr>
        <w:t>成交</w:t>
      </w:r>
      <w:r>
        <w:rPr>
          <w:rFonts w:hint="eastAsia" w:ascii="宋体" w:hAnsi="宋体" w:cs="宋体"/>
          <w:lang w:eastAsia="zh-TW"/>
        </w:rPr>
        <w:t>候选人递补，以此类推。</w:t>
      </w:r>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20.确定成交结果</w:t>
      </w:r>
    </w:p>
    <w:p>
      <w:pPr>
        <w:autoSpaceDE w:val="0"/>
        <w:autoSpaceDN w:val="0"/>
        <w:adjustRightInd w:val="0"/>
        <w:snapToGrid w:val="0"/>
        <w:spacing w:line="360" w:lineRule="auto"/>
        <w:ind w:firstLine="420" w:firstLineChars="200"/>
        <w:jc w:val="left"/>
        <w:rPr>
          <w:rFonts w:ascii="宋体" w:hAnsi="Times New Roman" w:cs="宋体"/>
        </w:rPr>
      </w:pPr>
      <w:r>
        <w:rPr>
          <w:rFonts w:hint="eastAsia" w:ascii="宋体" w:hAnsi="宋体" w:cs="宋体"/>
        </w:rPr>
        <w:t>20.1成交供应商确定后，采购人将在</w:t>
      </w:r>
      <w:r>
        <w:rPr>
          <w:rFonts w:hint="eastAsia" w:ascii="宋体" w:hAnsi="宋体" w:cs="宋体"/>
          <w:u w:val="single"/>
        </w:rPr>
        <w:t>南宁市人力资源和社会保障局网站及广西南宁技师学院网站</w:t>
      </w:r>
      <w:r>
        <w:rPr>
          <w:rFonts w:hint="eastAsia" w:ascii="宋体" w:hAnsi="宋体" w:cs="宋体"/>
        </w:rPr>
        <w:t>上发布成交结果公告。</w:t>
      </w:r>
    </w:p>
    <w:p>
      <w:pPr>
        <w:autoSpaceDE w:val="0"/>
        <w:autoSpaceDN w:val="0"/>
        <w:adjustRightInd w:val="0"/>
        <w:snapToGrid w:val="0"/>
        <w:spacing w:line="360" w:lineRule="auto"/>
        <w:ind w:firstLine="420" w:firstLineChars="200"/>
        <w:jc w:val="left"/>
        <w:rPr>
          <w:rFonts w:ascii="宋体" w:hAnsi="Times New Roman" w:cs="宋体"/>
        </w:rPr>
      </w:pPr>
      <w:r>
        <w:rPr>
          <w:rFonts w:hint="eastAsia" w:ascii="宋体" w:hAnsi="宋体" w:cs="宋体"/>
        </w:rPr>
        <w:t>20.2由采购人向成交供应商发出《成交通知书》。</w:t>
      </w:r>
    </w:p>
    <w:p>
      <w:pPr>
        <w:autoSpaceDE w:val="0"/>
        <w:autoSpaceDN w:val="0"/>
        <w:adjustRightInd w:val="0"/>
        <w:snapToGrid w:val="0"/>
        <w:spacing w:line="360" w:lineRule="auto"/>
        <w:ind w:firstLine="420" w:firstLineChars="200"/>
        <w:jc w:val="left"/>
        <w:rPr>
          <w:rFonts w:ascii="宋体" w:hAnsi="Times New Roman" w:cs="宋体"/>
        </w:rPr>
      </w:pPr>
      <w:r>
        <w:rPr>
          <w:rFonts w:hint="eastAsia" w:ascii="宋体" w:hAnsi="宋体" w:cs="宋体"/>
        </w:rPr>
        <w:t>20.3成交供应商放弃中标、不按要求与采购人签订采购合同、因不可抗拒力或自身原因不能履行采购合同的，采购人可以与排位在成交供应商之后第一位的成交候选人签订采购合同，以此类推</w:t>
      </w:r>
      <w:r>
        <w:rPr>
          <w:rFonts w:hint="eastAsia" w:ascii="宋体" w:hAnsi="宋体" w:cs="宋体"/>
          <w:color w:val="3366FF"/>
        </w:rPr>
        <w:t>，</w:t>
      </w:r>
      <w:r>
        <w:rPr>
          <w:rFonts w:hint="eastAsia" w:ascii="宋体" w:hAnsi="宋体" w:cs="宋体"/>
        </w:rPr>
        <w:t>也可以重新开展采购活动。拒绝签订采购合同的成交供应商不得参加对该项目重新开展的采购活动。</w:t>
      </w:r>
    </w:p>
    <w:p>
      <w:pPr>
        <w:autoSpaceDE w:val="0"/>
        <w:autoSpaceDN w:val="0"/>
        <w:adjustRightInd w:val="0"/>
        <w:snapToGrid w:val="0"/>
        <w:spacing w:line="360" w:lineRule="auto"/>
        <w:ind w:firstLine="413" w:firstLineChars="196"/>
        <w:outlineLvl w:val="0"/>
        <w:rPr>
          <w:rFonts w:ascii="宋体" w:hAnsi="宋体" w:cs="宋体"/>
          <w:b/>
        </w:rPr>
      </w:pPr>
      <w:bookmarkStart w:id="41" w:name="_Toc433127783"/>
      <w:bookmarkStart w:id="42" w:name="_Toc31343"/>
      <w:r>
        <w:rPr>
          <w:rFonts w:hint="eastAsia" w:ascii="宋体" w:hAnsi="宋体" w:cs="宋体"/>
          <w:b/>
        </w:rPr>
        <w:t>21.询问、质疑、投诉</w:t>
      </w:r>
      <w:bookmarkEnd w:id="41"/>
      <w:bookmarkEnd w:id="42"/>
    </w:p>
    <w:p>
      <w:pPr>
        <w:autoSpaceDE w:val="0"/>
        <w:autoSpaceDN w:val="0"/>
        <w:adjustRightInd w:val="0"/>
        <w:snapToGrid w:val="0"/>
        <w:spacing w:line="360" w:lineRule="auto"/>
        <w:ind w:firstLine="413" w:firstLineChars="196"/>
        <w:outlineLvl w:val="0"/>
        <w:rPr>
          <w:rFonts w:ascii="宋体" w:hAnsi="Times New Roman" w:cs="宋体"/>
          <w:b/>
        </w:rPr>
      </w:pPr>
      <w:bookmarkStart w:id="43" w:name="_Toc1886"/>
      <w:r>
        <w:rPr>
          <w:rFonts w:hint="eastAsia" w:ascii="宋体" w:hAnsi="宋体" w:cs="宋体"/>
          <w:b/>
        </w:rPr>
        <w:t>21.1询问</w:t>
      </w:r>
      <w:bookmarkEnd w:id="43"/>
    </w:p>
    <w:p>
      <w:pPr>
        <w:autoSpaceDE w:val="0"/>
        <w:autoSpaceDN w:val="0"/>
        <w:adjustRightInd w:val="0"/>
        <w:snapToGrid w:val="0"/>
        <w:spacing w:line="360" w:lineRule="auto"/>
        <w:ind w:firstLine="411" w:firstLineChars="196"/>
        <w:outlineLvl w:val="0"/>
        <w:rPr>
          <w:rFonts w:ascii="宋体" w:hAnsi="Times New Roman" w:cs="宋体"/>
          <w:b/>
        </w:rPr>
      </w:pPr>
      <w:bookmarkStart w:id="44" w:name="_Toc5581"/>
      <w:r>
        <w:rPr>
          <w:rFonts w:hint="eastAsia" w:ascii="宋体" w:hAnsi="宋体" w:cs="宋体"/>
        </w:rPr>
        <w:t>21.1.1供应商对采购活动事项有疑问的，可以向采购单位提出询问，询问可以口头方式提出，也可以书面方式提出。</w:t>
      </w:r>
      <w:bookmarkEnd w:id="44"/>
    </w:p>
    <w:p>
      <w:pPr>
        <w:tabs>
          <w:tab w:val="left" w:pos="993"/>
        </w:tabs>
        <w:autoSpaceDE w:val="0"/>
        <w:autoSpaceDN w:val="0"/>
        <w:adjustRightInd w:val="0"/>
        <w:snapToGrid w:val="0"/>
        <w:spacing w:line="360" w:lineRule="auto"/>
        <w:ind w:firstLine="420" w:firstLineChars="200"/>
        <w:rPr>
          <w:rFonts w:ascii="宋体" w:hAnsi="Times New Roman" w:cs="宋体"/>
        </w:rPr>
      </w:pPr>
      <w:r>
        <w:rPr>
          <w:rFonts w:hint="eastAsia" w:ascii="宋体" w:hAnsi="宋体" w:cs="宋体"/>
        </w:rPr>
        <w:t>21.1.2采购人在收到供应商询问后三个工作日内作出答复。</w:t>
      </w:r>
    </w:p>
    <w:p>
      <w:pPr>
        <w:autoSpaceDE w:val="0"/>
        <w:autoSpaceDN w:val="0"/>
        <w:adjustRightInd w:val="0"/>
        <w:snapToGrid w:val="0"/>
        <w:spacing w:line="360" w:lineRule="auto"/>
        <w:ind w:firstLine="413" w:firstLineChars="196"/>
        <w:outlineLvl w:val="0"/>
        <w:rPr>
          <w:rFonts w:ascii="宋体" w:hAnsi="宋体" w:cs="宋体"/>
          <w:b/>
        </w:rPr>
      </w:pPr>
      <w:bookmarkStart w:id="45" w:name="_Toc29058"/>
      <w:r>
        <w:rPr>
          <w:rFonts w:hint="eastAsia" w:ascii="宋体" w:hAnsi="宋体" w:cs="宋体"/>
          <w:b/>
        </w:rPr>
        <w:t>21.2质疑</w:t>
      </w:r>
      <w:bookmarkEnd w:id="45"/>
    </w:p>
    <w:p>
      <w:pPr>
        <w:autoSpaceDE w:val="0"/>
        <w:autoSpaceDN w:val="0"/>
        <w:adjustRightInd w:val="0"/>
        <w:snapToGrid w:val="0"/>
        <w:spacing w:line="360" w:lineRule="auto"/>
        <w:ind w:firstLine="411" w:firstLineChars="196"/>
        <w:outlineLvl w:val="0"/>
        <w:rPr>
          <w:rFonts w:ascii="宋体" w:hAnsi="宋体" w:cs="宋体"/>
        </w:rPr>
      </w:pPr>
      <w:bookmarkStart w:id="46" w:name="_Toc5451"/>
      <w:r>
        <w:rPr>
          <w:rFonts w:hint="eastAsia" w:ascii="宋体" w:hAnsi="宋体" w:cs="宋体"/>
        </w:rPr>
        <w:t>21.2.1质疑期限：</w:t>
      </w:r>
      <w:bookmarkEnd w:id="46"/>
    </w:p>
    <w:p>
      <w:pPr>
        <w:autoSpaceDE w:val="0"/>
        <w:autoSpaceDN w:val="0"/>
        <w:adjustRightInd w:val="0"/>
        <w:snapToGrid w:val="0"/>
        <w:spacing w:line="360" w:lineRule="auto"/>
        <w:ind w:firstLine="411" w:firstLineChars="196"/>
        <w:outlineLvl w:val="0"/>
        <w:rPr>
          <w:rFonts w:ascii="宋体" w:hAnsi="宋体" w:cs="宋体"/>
        </w:rPr>
      </w:pPr>
      <w:bookmarkStart w:id="47" w:name="_Toc24930"/>
      <w:r>
        <w:rPr>
          <w:rFonts w:hint="eastAsia" w:ascii="宋体" w:hAnsi="宋体" w:cs="宋体"/>
        </w:rPr>
        <w:t>21.2.1.1供应商认为采购文件的内容损害其权益的，应在收到采购文件之日或者采购文件公告期届满之日起七个工作日内。</w:t>
      </w:r>
      <w:bookmarkEnd w:id="47"/>
    </w:p>
    <w:p>
      <w:pPr>
        <w:autoSpaceDE w:val="0"/>
        <w:autoSpaceDN w:val="0"/>
        <w:adjustRightInd w:val="0"/>
        <w:snapToGrid w:val="0"/>
        <w:spacing w:line="360" w:lineRule="auto"/>
        <w:ind w:firstLine="411" w:firstLineChars="196"/>
        <w:outlineLvl w:val="0"/>
        <w:rPr>
          <w:rFonts w:ascii="宋体" w:hAnsi="宋体" w:cs="宋体"/>
        </w:rPr>
      </w:pPr>
      <w:bookmarkStart w:id="48" w:name="_Toc561"/>
      <w:r>
        <w:rPr>
          <w:rFonts w:hint="eastAsia" w:ascii="宋体" w:hAnsi="宋体" w:cs="宋体"/>
        </w:rPr>
        <w:t>21.2.1.2供应商认为采购过程损害其权益的，应在各采购程序环节结束之日起七个工作日内。</w:t>
      </w:r>
      <w:bookmarkEnd w:id="48"/>
    </w:p>
    <w:p>
      <w:pPr>
        <w:autoSpaceDE w:val="0"/>
        <w:autoSpaceDN w:val="0"/>
        <w:adjustRightInd w:val="0"/>
        <w:snapToGrid w:val="0"/>
        <w:spacing w:line="360" w:lineRule="auto"/>
        <w:ind w:firstLine="411" w:firstLineChars="196"/>
        <w:outlineLvl w:val="0"/>
        <w:rPr>
          <w:rFonts w:ascii="宋体" w:hAnsi="宋体" w:cs="宋体"/>
        </w:rPr>
      </w:pPr>
      <w:bookmarkStart w:id="49" w:name="_Toc20026"/>
      <w:r>
        <w:rPr>
          <w:rFonts w:hint="eastAsia" w:ascii="宋体" w:hAnsi="宋体" w:cs="宋体"/>
        </w:rPr>
        <w:t>21.2.1.3 供应商认为中标或者成交结果损害其权益的，应在中标或者成交结果公告期限届满之日起七个工作日内。</w:t>
      </w:r>
      <w:bookmarkEnd w:id="49"/>
    </w:p>
    <w:p>
      <w:pPr>
        <w:autoSpaceDE w:val="0"/>
        <w:autoSpaceDN w:val="0"/>
        <w:adjustRightInd w:val="0"/>
        <w:snapToGrid w:val="0"/>
        <w:spacing w:line="360" w:lineRule="auto"/>
        <w:ind w:firstLine="411" w:firstLineChars="196"/>
        <w:outlineLvl w:val="0"/>
        <w:rPr>
          <w:rFonts w:ascii="宋体" w:hAnsi="宋体" w:cs="宋体"/>
        </w:rPr>
      </w:pPr>
      <w:bookmarkStart w:id="50" w:name="_Toc26033"/>
      <w:r>
        <w:rPr>
          <w:rFonts w:hint="eastAsia" w:ascii="宋体" w:hAnsi="宋体" w:cs="宋体"/>
        </w:rPr>
        <w:t>21.2.2提交要求：</w:t>
      </w:r>
      <w:bookmarkEnd w:id="50"/>
    </w:p>
    <w:p>
      <w:pPr>
        <w:autoSpaceDE w:val="0"/>
        <w:autoSpaceDN w:val="0"/>
        <w:adjustRightInd w:val="0"/>
        <w:snapToGrid w:val="0"/>
        <w:spacing w:line="360" w:lineRule="auto"/>
        <w:ind w:firstLine="411" w:firstLineChars="196"/>
        <w:outlineLvl w:val="0"/>
        <w:rPr>
          <w:rFonts w:ascii="宋体" w:hAnsi="宋体" w:cs="宋体"/>
        </w:rPr>
      </w:pPr>
      <w:bookmarkStart w:id="51" w:name="_Toc22473"/>
      <w:r>
        <w:rPr>
          <w:rFonts w:hint="eastAsia" w:ascii="宋体" w:hAnsi="宋体" w:cs="宋体"/>
        </w:rPr>
        <w:t>21.2.2.1 以书面形式（加盖供应商公章）向采购人提出质疑，供应商以电话、传真或电邮形式提交的质疑属于无效质疑。</w:t>
      </w:r>
      <w:bookmarkEnd w:id="51"/>
    </w:p>
    <w:p>
      <w:pPr>
        <w:autoSpaceDE w:val="0"/>
        <w:autoSpaceDN w:val="0"/>
        <w:adjustRightInd w:val="0"/>
        <w:snapToGrid w:val="0"/>
        <w:spacing w:line="360" w:lineRule="auto"/>
        <w:ind w:firstLine="411" w:firstLineChars="196"/>
        <w:outlineLvl w:val="0"/>
        <w:rPr>
          <w:rFonts w:ascii="宋体" w:hAnsi="宋体" w:cs="宋体"/>
        </w:rPr>
      </w:pPr>
      <w:bookmarkStart w:id="52" w:name="_Toc5754"/>
      <w:r>
        <w:rPr>
          <w:rFonts w:hint="eastAsia" w:ascii="宋体" w:hAnsi="宋体" w:cs="宋体"/>
        </w:rPr>
        <w:t>21.2.2.2 质疑书内容：应包括具体的质疑事项、事实依据及相关确凿的证明材料、明确的请求、供应商名称及地址、授权代表姓名及其联系电话、有效通讯电子邮箱、质疑时间。质疑书应当署名并由法定代表人或授权代表签字并加盖公章。供应商递交质疑书时需提供质疑书原件、供应商营业执照复印件（加盖公章）、法定代表人证明书、法定代表人授权委托书（应载明委托代理的具体权限及事项。全权委托的，应包含“全权代表我司处理‘代为递交、签收质疑文件，并对与质疑事项相关问题作出解释’及其他一切质疑相关事宜”）及授权代表身份证复印件（原件核验）。</w:t>
      </w:r>
      <w:bookmarkEnd w:id="52"/>
    </w:p>
    <w:p>
      <w:pPr>
        <w:autoSpaceDE w:val="0"/>
        <w:autoSpaceDN w:val="0"/>
        <w:adjustRightInd w:val="0"/>
        <w:snapToGrid w:val="0"/>
        <w:spacing w:line="360" w:lineRule="auto"/>
        <w:ind w:firstLine="411" w:firstLineChars="196"/>
        <w:outlineLvl w:val="0"/>
        <w:rPr>
          <w:rFonts w:ascii="宋体" w:hAnsi="宋体" w:cs="宋体"/>
        </w:rPr>
      </w:pPr>
      <w:bookmarkStart w:id="53" w:name="_Toc8235"/>
      <w:r>
        <w:rPr>
          <w:rFonts w:hint="eastAsia" w:ascii="宋体" w:hAnsi="宋体" w:cs="宋体"/>
        </w:rPr>
        <w:t>21.2.2.3 供应商质疑应当有明确的请求和必要的证明材料，捏造事实、提供虚假材料或者以非法手段取得证明材料不能作为质疑的证明材料。</w:t>
      </w:r>
      <w:r>
        <w:rPr>
          <w:rFonts w:hint="eastAsia" w:ascii="宋体" w:hAnsi="宋体" w:cs="宋体"/>
        </w:rPr>
        <w:br w:type="textWrapping"/>
      </w:r>
      <w:r>
        <w:rPr>
          <w:rFonts w:hint="eastAsia" w:ascii="宋体" w:hAnsi="宋体" w:cs="宋体"/>
        </w:rPr>
        <w:t xml:space="preserve">    21.2.2.4采购人在收到供应商的书面质疑后7个工作日内作出答复，并以书面形式通知质疑供应商和其他有关供应商，但答复内容不涉及商业秘密。质疑供应商须提供相关证明材料，包括但不限于权益受损害的情况说明及受损害的原因、证据内容等，并对质疑内容的真实性承担责任。供应商领取书面质疑答复时，应由授权代表出示身份证原件供核验。</w:t>
      </w:r>
      <w:bookmarkEnd w:id="53"/>
    </w:p>
    <w:p>
      <w:pPr>
        <w:autoSpaceDE w:val="0"/>
        <w:autoSpaceDN w:val="0"/>
        <w:adjustRightInd w:val="0"/>
        <w:snapToGrid w:val="0"/>
        <w:spacing w:line="360" w:lineRule="auto"/>
        <w:ind w:firstLine="411" w:firstLineChars="196"/>
        <w:outlineLvl w:val="0"/>
        <w:rPr>
          <w:rFonts w:ascii="宋体" w:hAnsi="宋体" w:cs="宋体"/>
        </w:rPr>
      </w:pPr>
      <w:bookmarkStart w:id="54" w:name="_Toc25532"/>
      <w:r>
        <w:rPr>
          <w:rFonts w:hint="eastAsia" w:ascii="宋体" w:hAnsi="宋体" w:cs="宋体"/>
        </w:rPr>
        <w:t>21.2.3 对于捏造事实、滥用维权扰乱采购秩序的恶意质疑者或举证不全查无实据被驳回次数在一年内达三次以上，将纳入不良行为记录名单并承担相应的法律责任。</w:t>
      </w:r>
      <w:bookmarkEnd w:id="54"/>
    </w:p>
    <w:p>
      <w:pPr>
        <w:tabs>
          <w:tab w:val="left" w:pos="1272"/>
        </w:tabs>
        <w:spacing w:line="360" w:lineRule="auto"/>
        <w:ind w:firstLine="413" w:firstLineChars="196"/>
        <w:rPr>
          <w:rFonts w:ascii="宋体" w:hAnsi="Times New Roman" w:cs="宋体"/>
          <w:b/>
          <w:color w:val="000000"/>
        </w:rPr>
      </w:pPr>
      <w:r>
        <w:rPr>
          <w:rFonts w:hint="eastAsia" w:ascii="宋体" w:hAnsi="宋体" w:cs="宋体"/>
          <w:b/>
          <w:color w:val="000000"/>
        </w:rPr>
        <w:t>21.3投诉</w:t>
      </w:r>
    </w:p>
    <w:p>
      <w:pPr>
        <w:tabs>
          <w:tab w:val="left" w:pos="1272"/>
        </w:tabs>
        <w:spacing w:line="360" w:lineRule="auto"/>
        <w:ind w:firstLine="420" w:firstLineChars="200"/>
        <w:rPr>
          <w:rFonts w:ascii="宋体" w:hAnsi="Times New Roman" w:cs="宋体"/>
          <w:color w:val="000000"/>
        </w:rPr>
      </w:pPr>
      <w:r>
        <w:rPr>
          <w:rFonts w:hint="eastAsia" w:ascii="宋体" w:hAnsi="宋体" w:cs="宋体"/>
          <w:color w:val="000000"/>
        </w:rPr>
        <w:t>质疑供应商对采购单位的质疑答复不满意，或采购单位未在规定期限内作出答复的，可以在答复期满后十五个工作日内向同级监管部门提出投诉。</w:t>
      </w:r>
    </w:p>
    <w:p>
      <w:pPr>
        <w:autoSpaceDE w:val="0"/>
        <w:autoSpaceDN w:val="0"/>
        <w:adjustRightInd w:val="0"/>
        <w:snapToGrid w:val="0"/>
        <w:spacing w:line="360" w:lineRule="auto"/>
        <w:jc w:val="left"/>
        <w:rPr>
          <w:rFonts w:ascii="宋体" w:hAnsi="Times New Roman" w:cs="宋体"/>
        </w:rPr>
      </w:pPr>
    </w:p>
    <w:p>
      <w:pPr>
        <w:pStyle w:val="3"/>
        <w:adjustRightInd w:val="0"/>
        <w:snapToGrid w:val="0"/>
        <w:spacing w:line="360" w:lineRule="auto"/>
        <w:jc w:val="center"/>
        <w:rPr>
          <w:sz w:val="30"/>
          <w:szCs w:val="30"/>
        </w:rPr>
      </w:pPr>
      <w:bookmarkStart w:id="55" w:name="_Toc8524"/>
      <w:bookmarkStart w:id="56" w:name="_Toc453493037"/>
      <w:bookmarkStart w:id="57" w:name="_Toc448133314"/>
      <w:bookmarkStart w:id="58" w:name="_Toc454458058"/>
      <w:r>
        <w:rPr>
          <w:rFonts w:hint="eastAsia" w:cs="宋体"/>
          <w:sz w:val="30"/>
          <w:szCs w:val="30"/>
        </w:rPr>
        <w:t>六、授予合同</w:t>
      </w:r>
      <w:bookmarkEnd w:id="55"/>
      <w:bookmarkEnd w:id="56"/>
      <w:bookmarkEnd w:id="57"/>
      <w:bookmarkEnd w:id="58"/>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22.合同的订立</w:t>
      </w:r>
    </w:p>
    <w:p>
      <w:pPr>
        <w:adjustRightInd w:val="0"/>
        <w:snapToGrid w:val="0"/>
        <w:spacing w:line="360" w:lineRule="auto"/>
        <w:ind w:firstLine="411" w:firstLineChars="196"/>
        <w:outlineLvl w:val="2"/>
        <w:rPr>
          <w:rFonts w:ascii="宋体" w:hAnsi="Times New Roman" w:cs="宋体"/>
          <w:b/>
        </w:rPr>
      </w:pPr>
      <w:r>
        <w:rPr>
          <w:rFonts w:hint="eastAsia" w:ascii="宋体" w:hAnsi="宋体" w:cs="宋体"/>
          <w:lang w:eastAsia="zh-TW"/>
        </w:rPr>
        <w:t>采购人</w:t>
      </w:r>
      <w:r>
        <w:rPr>
          <w:rFonts w:hint="eastAsia" w:ascii="宋体" w:hAnsi="宋体" w:cs="宋体"/>
        </w:rPr>
        <w:t>应当</w:t>
      </w:r>
      <w:r>
        <w:rPr>
          <w:rFonts w:hint="eastAsia" w:ascii="宋体" w:hAnsi="宋体" w:cs="宋体"/>
          <w:lang w:eastAsia="zh-TW"/>
        </w:rPr>
        <w:t>自成交通知书发出之日起三十日内签订采购合同，但不得超出询价文件和成交供应商响应文件的范围、</w:t>
      </w:r>
      <w:r>
        <w:rPr>
          <w:rFonts w:hint="eastAsia" w:ascii="宋体" w:hAnsi="宋体" w:cs="宋体"/>
        </w:rPr>
        <w:t>也不得再行订立背离询价文件确定的合同文本以及实质性内容的协议。</w:t>
      </w:r>
    </w:p>
    <w:p>
      <w:pPr>
        <w:adjustRightInd w:val="0"/>
        <w:snapToGrid w:val="0"/>
        <w:spacing w:line="360" w:lineRule="auto"/>
        <w:ind w:firstLine="413" w:firstLineChars="196"/>
        <w:outlineLvl w:val="2"/>
        <w:rPr>
          <w:rFonts w:ascii="宋体" w:hAnsi="Times New Roman" w:cs="宋体"/>
          <w:b/>
        </w:rPr>
      </w:pPr>
      <w:bookmarkStart w:id="59" w:name="_Toc378586990"/>
      <w:r>
        <w:rPr>
          <w:rFonts w:hint="eastAsia" w:ascii="宋体" w:hAnsi="宋体" w:cs="宋体"/>
          <w:b/>
        </w:rPr>
        <w:t>23.合同的履行</w:t>
      </w:r>
      <w:bookmarkEnd w:id="59"/>
    </w:p>
    <w:p>
      <w:pPr>
        <w:autoSpaceDE w:val="0"/>
        <w:autoSpaceDN w:val="0"/>
        <w:adjustRightInd w:val="0"/>
        <w:snapToGrid w:val="0"/>
        <w:spacing w:line="360" w:lineRule="auto"/>
        <w:ind w:firstLine="420" w:firstLineChars="200"/>
        <w:jc w:val="left"/>
        <w:rPr>
          <w:rFonts w:ascii="宋体" w:hAnsi="Times New Roman" w:cs="宋体"/>
        </w:rPr>
      </w:pPr>
      <w:r>
        <w:rPr>
          <w:rFonts w:hint="eastAsia" w:ascii="宋体" w:hAnsi="宋体" w:cs="宋体"/>
          <w:lang w:eastAsia="zh-TW"/>
        </w:rPr>
        <w:t>采购合同订立后，合同各方不得擅自变更、中止或者终止合同。采购合同需要变更的，采购人应将有关合同变更内容以书面形式进行备案；因特殊情况需要中止或终止合同的，采购人应将中止或终止合同的理由以及相应措施，以书面形式报广西南宁技师学院党委会。</w:t>
      </w:r>
    </w:p>
    <w:p>
      <w:pPr>
        <w:spacing w:line="360" w:lineRule="auto"/>
        <w:rPr>
          <w:rFonts w:cs="Times New Roman"/>
          <w:b/>
          <w:bCs/>
          <w:sz w:val="24"/>
          <w:szCs w:val="24"/>
        </w:rPr>
        <w:sectPr>
          <w:pgSz w:w="11906" w:h="16838"/>
          <w:pgMar w:top="1440" w:right="1800" w:bottom="1440" w:left="1800" w:header="851" w:footer="992" w:gutter="0"/>
          <w:cols w:space="425" w:num="1"/>
          <w:docGrid w:type="lines" w:linePitch="312" w:charSpace="0"/>
        </w:sectPr>
      </w:pPr>
    </w:p>
    <w:p>
      <w:pPr>
        <w:spacing w:line="360" w:lineRule="auto"/>
        <w:rPr>
          <w:rFonts w:cs="Times New Roman"/>
          <w:b/>
          <w:bCs/>
        </w:rPr>
      </w:pPr>
      <w:r>
        <w:rPr>
          <w:rFonts w:ascii="宋体" w:hAnsi="宋体" w:cs="宋体"/>
          <w:b/>
          <w:bCs/>
          <w:sz w:val="48"/>
          <w:szCs w:val="48"/>
        </w:rPr>
        <w:tab/>
      </w:r>
      <w:r>
        <w:rPr>
          <w:rFonts w:hint="eastAsia" w:cs="宋体"/>
          <w:b/>
          <w:bCs/>
        </w:rPr>
        <w:t>附件一：资格性及符合性审查表</w:t>
      </w:r>
    </w:p>
    <w:p>
      <w:pPr>
        <w:tabs>
          <w:tab w:val="left" w:pos="210"/>
          <w:tab w:val="center" w:pos="6979"/>
        </w:tabs>
        <w:adjustRightInd w:val="0"/>
        <w:snapToGrid w:val="0"/>
        <w:spacing w:line="460" w:lineRule="atLeast"/>
        <w:ind w:firstLine="480" w:firstLineChars="100"/>
        <w:jc w:val="left"/>
        <w:rPr>
          <w:rFonts w:ascii="宋体" w:cs="宋体"/>
          <w:b/>
          <w:bCs/>
          <w:sz w:val="48"/>
          <w:szCs w:val="48"/>
        </w:rPr>
      </w:pPr>
      <w:r>
        <w:rPr>
          <w:rFonts w:ascii="宋体" w:hAnsi="宋体" w:cs="宋体"/>
          <w:b/>
          <w:bCs/>
          <w:sz w:val="48"/>
          <w:szCs w:val="48"/>
        </w:rPr>
        <w:tab/>
      </w:r>
      <w:r>
        <w:rPr>
          <w:rFonts w:hint="eastAsia" w:ascii="宋体" w:hAnsi="宋体" w:cs="宋体"/>
          <w:b/>
          <w:bCs/>
          <w:sz w:val="48"/>
          <w:szCs w:val="48"/>
        </w:rPr>
        <w:t>广西南宁技师学院</w:t>
      </w:r>
    </w:p>
    <w:p>
      <w:pPr>
        <w:spacing w:after="312" w:afterLines="100"/>
        <w:jc w:val="center"/>
        <w:rPr>
          <w:rFonts w:ascii="宋体" w:cs="宋体"/>
          <w:sz w:val="36"/>
          <w:szCs w:val="36"/>
        </w:rPr>
      </w:pPr>
      <w:r>
        <w:rPr>
          <w:rFonts w:hint="eastAsia" w:ascii="宋体" w:hAnsi="宋体" w:cs="宋体"/>
          <w:sz w:val="36"/>
          <w:szCs w:val="36"/>
        </w:rPr>
        <w:t>资格性及符合性审查表</w:t>
      </w:r>
    </w:p>
    <w:p>
      <w:pPr>
        <w:spacing w:after="156" w:afterLines="50" w:line="400" w:lineRule="exact"/>
        <w:rPr>
          <w:rFonts w:ascii="宋体" w:cs="宋体"/>
          <w:b/>
          <w:bCs/>
          <w:kern w:val="0"/>
          <w:sz w:val="24"/>
          <w:szCs w:val="24"/>
        </w:rPr>
      </w:pPr>
      <w:r>
        <w:rPr>
          <w:rFonts w:hint="eastAsia" w:cs="宋体"/>
          <w:b/>
          <w:bCs/>
          <w:sz w:val="24"/>
          <w:szCs w:val="24"/>
        </w:rPr>
        <w:t>采购项目：</w:t>
      </w:r>
    </w:p>
    <w:tbl>
      <w:tblPr>
        <w:tblStyle w:val="35"/>
        <w:tblpPr w:leftFromText="180" w:rightFromText="180" w:vertAnchor="text" w:horzAnchor="margin" w:tblpXSpec="center" w:tblpY="43"/>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fixed"/>
        <w:tblCellMar>
          <w:top w:w="0" w:type="dxa"/>
          <w:left w:w="108" w:type="dxa"/>
          <w:bottom w:w="0" w:type="dxa"/>
          <w:right w:w="108" w:type="dxa"/>
        </w:tblCellMar>
      </w:tblPr>
      <w:tblGrid>
        <w:gridCol w:w="635"/>
        <w:gridCol w:w="2848"/>
        <w:gridCol w:w="1303"/>
        <w:gridCol w:w="1843"/>
        <w:gridCol w:w="1134"/>
        <w:gridCol w:w="1984"/>
        <w:gridCol w:w="851"/>
        <w:gridCol w:w="850"/>
        <w:gridCol w:w="1560"/>
        <w:gridCol w:w="127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17" w:hRule="atLeast"/>
          <w:jc w:val="center"/>
        </w:trPr>
        <w:tc>
          <w:tcPr>
            <w:tcW w:w="635" w:type="dxa"/>
            <w:vMerge w:val="restart"/>
            <w:shd w:val="clear" w:color="auto" w:fill="D9D9D9"/>
            <w:vAlign w:val="center"/>
          </w:tcPr>
          <w:p>
            <w:pPr>
              <w:jc w:val="center"/>
              <w:rPr>
                <w:rFonts w:ascii="宋体" w:cs="宋体"/>
                <w:spacing w:val="-12"/>
              </w:rPr>
            </w:pPr>
            <w:r>
              <w:rPr>
                <w:rFonts w:hint="eastAsia" w:ascii="宋体" w:hAnsi="宋体" w:cs="宋体"/>
                <w:spacing w:val="-12"/>
              </w:rPr>
              <w:t>序号</w:t>
            </w:r>
          </w:p>
        </w:tc>
        <w:tc>
          <w:tcPr>
            <w:tcW w:w="2848" w:type="dxa"/>
            <w:vMerge w:val="restart"/>
            <w:tcBorders>
              <w:tl2br w:val="single" w:color="auto" w:sz="4" w:space="0"/>
            </w:tcBorders>
            <w:shd w:val="clear" w:color="auto" w:fill="D9D9D9"/>
            <w:vAlign w:val="center"/>
          </w:tcPr>
          <w:p>
            <w:pPr>
              <w:ind w:firstLine="1575" w:firstLineChars="750"/>
              <w:rPr>
                <w:rFonts w:ascii="宋体" w:cs="宋体"/>
              </w:rPr>
            </w:pPr>
            <w:r>
              <w:rPr>
                <w:rFonts w:hint="eastAsia" w:ascii="宋体" w:hAnsi="宋体" w:cs="宋体"/>
              </w:rPr>
              <w:t>检查项目</w:t>
            </w:r>
          </w:p>
          <w:p>
            <w:pPr>
              <w:rPr>
                <w:rFonts w:ascii="宋体" w:cs="宋体"/>
                <w:spacing w:val="-12"/>
              </w:rPr>
            </w:pPr>
            <w:r>
              <w:rPr>
                <w:rFonts w:hint="eastAsia" w:ascii="宋体" w:hAnsi="宋体" w:cs="宋体"/>
              </w:rPr>
              <w:t>供应商名称</w:t>
            </w:r>
          </w:p>
        </w:tc>
        <w:tc>
          <w:tcPr>
            <w:tcW w:w="1303" w:type="dxa"/>
            <w:shd w:val="clear" w:color="auto" w:fill="D9D9D9"/>
            <w:vAlign w:val="center"/>
          </w:tcPr>
          <w:p>
            <w:pPr>
              <w:jc w:val="center"/>
              <w:rPr>
                <w:rFonts w:ascii="宋体" w:cs="宋体"/>
              </w:rPr>
            </w:pPr>
            <w:r>
              <w:rPr>
                <w:rFonts w:hint="eastAsia" w:ascii="宋体" w:hAnsi="宋体" w:cs="宋体"/>
              </w:rPr>
              <w:t>资格性审查</w:t>
            </w:r>
          </w:p>
        </w:tc>
        <w:tc>
          <w:tcPr>
            <w:tcW w:w="9497" w:type="dxa"/>
            <w:gridSpan w:val="7"/>
            <w:shd w:val="clear" w:color="auto" w:fill="D9D9D9"/>
            <w:vAlign w:val="center"/>
          </w:tcPr>
          <w:p>
            <w:pPr>
              <w:jc w:val="center"/>
              <w:rPr>
                <w:rFonts w:ascii="宋体" w:cs="宋体"/>
              </w:rPr>
            </w:pPr>
            <w:r>
              <w:rPr>
                <w:rFonts w:hint="eastAsia" w:ascii="宋体" w:hAnsi="宋体" w:cs="宋体"/>
              </w:rPr>
              <w:t>符合性审查</w:t>
            </w:r>
          </w:p>
        </w:tc>
        <w:tc>
          <w:tcPr>
            <w:tcW w:w="851" w:type="dxa"/>
            <w:vMerge w:val="restart"/>
            <w:shd w:val="clear" w:color="auto" w:fill="D9D9D9"/>
            <w:vAlign w:val="center"/>
          </w:tcPr>
          <w:p>
            <w:pPr>
              <w:jc w:val="center"/>
              <w:rPr>
                <w:rFonts w:ascii="宋体" w:cs="宋体"/>
              </w:rPr>
            </w:pPr>
            <w:r>
              <w:rPr>
                <w:rFonts w:hint="eastAsia" w:ascii="宋体" w:hAnsi="宋体" w:cs="宋体"/>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564" w:hRule="atLeast"/>
          <w:jc w:val="center"/>
        </w:trPr>
        <w:tc>
          <w:tcPr>
            <w:tcW w:w="635" w:type="dxa"/>
            <w:vMerge w:val="continue"/>
            <w:shd w:val="clear" w:color="auto" w:fill="D9D9D9"/>
            <w:vAlign w:val="center"/>
          </w:tcPr>
          <w:p>
            <w:pPr>
              <w:jc w:val="center"/>
              <w:rPr>
                <w:rFonts w:ascii="宋体" w:cs="宋体"/>
                <w:spacing w:val="-12"/>
              </w:rPr>
            </w:pPr>
          </w:p>
        </w:tc>
        <w:tc>
          <w:tcPr>
            <w:tcW w:w="2848" w:type="dxa"/>
            <w:vMerge w:val="continue"/>
            <w:tcBorders>
              <w:tl2br w:val="single" w:color="auto" w:sz="4" w:space="0"/>
            </w:tcBorders>
            <w:shd w:val="clear" w:color="auto" w:fill="D9D9D9"/>
            <w:vAlign w:val="center"/>
          </w:tcPr>
          <w:p>
            <w:pPr>
              <w:ind w:firstLine="1575" w:firstLineChars="750"/>
              <w:rPr>
                <w:rFonts w:ascii="宋体" w:cs="宋体"/>
              </w:rPr>
            </w:pPr>
          </w:p>
        </w:tc>
        <w:tc>
          <w:tcPr>
            <w:tcW w:w="1303" w:type="dxa"/>
            <w:shd w:val="clear" w:color="auto" w:fill="D9D9D9"/>
            <w:vAlign w:val="center"/>
          </w:tcPr>
          <w:p>
            <w:pPr>
              <w:jc w:val="center"/>
              <w:rPr>
                <w:rFonts w:ascii="宋体" w:cs="宋体"/>
              </w:rPr>
            </w:pPr>
            <w:r>
              <w:rPr>
                <w:rFonts w:hint="eastAsia" w:ascii="宋体" w:hAnsi="宋体" w:cs="宋体"/>
              </w:rPr>
              <w:t>合格供应商</w:t>
            </w:r>
          </w:p>
        </w:tc>
        <w:tc>
          <w:tcPr>
            <w:tcW w:w="1843" w:type="dxa"/>
            <w:shd w:val="clear" w:color="auto" w:fill="D9D9D9"/>
            <w:vAlign w:val="center"/>
          </w:tcPr>
          <w:p>
            <w:pPr>
              <w:jc w:val="center"/>
              <w:rPr>
                <w:rFonts w:ascii="宋体" w:cs="宋体"/>
              </w:rPr>
            </w:pPr>
            <w:r>
              <w:rPr>
                <w:rFonts w:hint="eastAsia" w:ascii="宋体" w:hAnsi="宋体" w:cs="宋体"/>
              </w:rPr>
              <w:t>响应文件</w:t>
            </w:r>
          </w:p>
          <w:p>
            <w:pPr>
              <w:jc w:val="center"/>
              <w:rPr>
                <w:rFonts w:ascii="宋体" w:cs="宋体"/>
              </w:rPr>
            </w:pPr>
            <w:r>
              <w:rPr>
                <w:rFonts w:hint="eastAsia" w:ascii="宋体" w:hAnsi="宋体" w:cs="宋体"/>
              </w:rPr>
              <w:t>签署合格</w:t>
            </w:r>
          </w:p>
        </w:tc>
        <w:tc>
          <w:tcPr>
            <w:tcW w:w="1134" w:type="dxa"/>
            <w:shd w:val="clear" w:color="auto" w:fill="D9D9D9"/>
            <w:vAlign w:val="center"/>
          </w:tcPr>
          <w:p>
            <w:pPr>
              <w:jc w:val="center"/>
              <w:rPr>
                <w:rFonts w:ascii="宋体" w:cs="宋体"/>
              </w:rPr>
            </w:pPr>
            <w:r>
              <w:rPr>
                <w:rFonts w:hint="eastAsia" w:ascii="宋体" w:hAnsi="宋体" w:cs="宋体"/>
              </w:rPr>
              <w:t>报价要求</w:t>
            </w:r>
          </w:p>
        </w:tc>
        <w:tc>
          <w:tcPr>
            <w:tcW w:w="1984" w:type="dxa"/>
            <w:shd w:val="clear" w:color="auto" w:fill="D9D9D9"/>
            <w:vAlign w:val="center"/>
          </w:tcPr>
          <w:p>
            <w:pPr>
              <w:jc w:val="center"/>
              <w:rPr>
                <w:rFonts w:ascii="宋体" w:cs="宋体"/>
              </w:rPr>
            </w:pPr>
            <w:r>
              <w:rPr>
                <w:rFonts w:hint="eastAsia" w:ascii="宋体" w:hAnsi="宋体" w:cs="宋体"/>
              </w:rPr>
              <w:t>响应文件的完整性</w:t>
            </w:r>
          </w:p>
        </w:tc>
        <w:tc>
          <w:tcPr>
            <w:tcW w:w="851" w:type="dxa"/>
            <w:shd w:val="clear" w:color="auto" w:fill="D9D9D9"/>
            <w:vAlign w:val="center"/>
          </w:tcPr>
          <w:p>
            <w:pPr>
              <w:jc w:val="center"/>
              <w:rPr>
                <w:rFonts w:ascii="宋体" w:cs="宋体"/>
              </w:rPr>
            </w:pPr>
            <w:r>
              <w:rPr>
                <w:rFonts w:hint="eastAsia" w:ascii="宋体" w:hAnsi="宋体" w:cs="宋体"/>
              </w:rPr>
              <w:t>询价有效期</w:t>
            </w:r>
          </w:p>
        </w:tc>
        <w:tc>
          <w:tcPr>
            <w:tcW w:w="850" w:type="dxa"/>
            <w:shd w:val="clear" w:color="auto" w:fill="D9D9D9"/>
            <w:vAlign w:val="center"/>
          </w:tcPr>
          <w:p>
            <w:pPr>
              <w:jc w:val="center"/>
              <w:rPr>
                <w:rFonts w:ascii="宋体" w:cs="宋体"/>
              </w:rPr>
            </w:pPr>
            <w:r>
              <w:rPr>
                <w:rFonts w:hint="eastAsia" w:ascii="宋体" w:hAnsi="宋体" w:cs="宋体"/>
              </w:rPr>
              <w:t>带▲条款</w:t>
            </w:r>
          </w:p>
        </w:tc>
        <w:tc>
          <w:tcPr>
            <w:tcW w:w="2835" w:type="dxa"/>
            <w:gridSpan w:val="2"/>
            <w:shd w:val="clear" w:color="auto" w:fill="D9D9D9"/>
            <w:vAlign w:val="center"/>
          </w:tcPr>
          <w:p>
            <w:pPr>
              <w:jc w:val="center"/>
              <w:rPr>
                <w:rFonts w:ascii="宋体" w:cs="宋体"/>
              </w:rPr>
            </w:pPr>
            <w:r>
              <w:rPr>
                <w:rFonts w:hint="eastAsia" w:ascii="宋体" w:hAnsi="宋体" w:cs="宋体"/>
              </w:rPr>
              <w:t>其他情形</w:t>
            </w:r>
          </w:p>
        </w:tc>
        <w:tc>
          <w:tcPr>
            <w:tcW w:w="851" w:type="dxa"/>
            <w:vMerge w:val="continue"/>
            <w:shd w:val="clear" w:color="auto" w:fill="D9D9D9"/>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827" w:hRule="atLeast"/>
          <w:jc w:val="center"/>
        </w:trPr>
        <w:tc>
          <w:tcPr>
            <w:tcW w:w="635" w:type="dxa"/>
            <w:vMerge w:val="continue"/>
            <w:tcBorders>
              <w:bottom w:val="single" w:color="auto" w:sz="4" w:space="0"/>
            </w:tcBorders>
            <w:shd w:val="clear" w:color="auto" w:fill="D9D9D9"/>
            <w:vAlign w:val="center"/>
          </w:tcPr>
          <w:p>
            <w:pPr>
              <w:jc w:val="center"/>
              <w:rPr>
                <w:rFonts w:ascii="宋体" w:cs="宋体"/>
                <w:spacing w:val="-12"/>
              </w:rPr>
            </w:pPr>
          </w:p>
        </w:tc>
        <w:tc>
          <w:tcPr>
            <w:tcW w:w="2848" w:type="dxa"/>
            <w:vMerge w:val="continue"/>
            <w:tcBorders>
              <w:bottom w:val="single" w:color="auto" w:sz="4" w:space="0"/>
              <w:tl2br w:val="single" w:color="auto" w:sz="4" w:space="0"/>
            </w:tcBorders>
            <w:shd w:val="clear" w:color="auto" w:fill="D9D9D9"/>
            <w:vAlign w:val="center"/>
          </w:tcPr>
          <w:p>
            <w:pPr>
              <w:ind w:firstLine="1575" w:firstLineChars="750"/>
              <w:rPr>
                <w:rFonts w:ascii="宋体" w:cs="宋体"/>
              </w:rPr>
            </w:pPr>
          </w:p>
        </w:tc>
        <w:tc>
          <w:tcPr>
            <w:tcW w:w="1303" w:type="dxa"/>
            <w:tcBorders>
              <w:bottom w:val="single" w:color="auto" w:sz="4" w:space="0"/>
            </w:tcBorders>
            <w:shd w:val="clear" w:color="auto" w:fill="D9D9D9"/>
            <w:vAlign w:val="center"/>
          </w:tcPr>
          <w:p>
            <w:pPr>
              <w:jc w:val="center"/>
              <w:rPr>
                <w:rFonts w:ascii="宋体" w:cs="宋体"/>
              </w:rPr>
            </w:pPr>
            <w:r>
              <w:rPr>
                <w:rFonts w:hint="eastAsia" w:ascii="宋体" w:hAnsi="宋体" w:cs="宋体"/>
              </w:rPr>
              <w:t>详见询价询价公告中“供应商资格”</w:t>
            </w:r>
          </w:p>
        </w:tc>
        <w:tc>
          <w:tcPr>
            <w:tcW w:w="1843" w:type="dxa"/>
            <w:tcBorders>
              <w:bottom w:val="single" w:color="auto" w:sz="4" w:space="0"/>
            </w:tcBorders>
            <w:shd w:val="clear" w:color="auto" w:fill="D9D9D9"/>
            <w:vAlign w:val="center"/>
          </w:tcPr>
          <w:p>
            <w:pPr>
              <w:jc w:val="center"/>
              <w:rPr>
                <w:rFonts w:ascii="宋体" w:cs="宋体"/>
              </w:rPr>
            </w:pPr>
            <w:r>
              <w:rPr>
                <w:rFonts w:hint="eastAsia" w:ascii="宋体" w:hAnsi="宋体" w:cs="宋体"/>
                <w:color w:val="000000"/>
              </w:rPr>
              <w:t>响应文件已按照询价文件规定要求签署、盖章</w:t>
            </w:r>
          </w:p>
        </w:tc>
        <w:tc>
          <w:tcPr>
            <w:tcW w:w="1134" w:type="dxa"/>
            <w:tcBorders>
              <w:bottom w:val="single" w:color="auto" w:sz="4" w:space="0"/>
            </w:tcBorders>
            <w:shd w:val="clear" w:color="auto" w:fill="D9D9D9"/>
            <w:vAlign w:val="center"/>
          </w:tcPr>
          <w:p>
            <w:pPr>
              <w:jc w:val="center"/>
              <w:rPr>
                <w:rFonts w:ascii="宋体" w:cs="宋体"/>
              </w:rPr>
            </w:pPr>
            <w:r>
              <w:rPr>
                <w:rFonts w:hint="eastAsia" w:ascii="宋体" w:hAnsi="宋体" w:cs="宋体"/>
                <w:color w:val="000000"/>
              </w:rPr>
              <w:t>报价未超过本项目预算金额</w:t>
            </w:r>
          </w:p>
        </w:tc>
        <w:tc>
          <w:tcPr>
            <w:tcW w:w="1984" w:type="dxa"/>
            <w:tcBorders>
              <w:bottom w:val="single" w:color="auto" w:sz="4" w:space="0"/>
            </w:tcBorders>
            <w:shd w:val="clear" w:color="auto" w:fill="D9D9D9"/>
            <w:vAlign w:val="center"/>
          </w:tcPr>
          <w:p>
            <w:pPr>
              <w:jc w:val="center"/>
              <w:rPr>
                <w:rFonts w:ascii="宋体" w:cs="宋体"/>
              </w:rPr>
            </w:pPr>
            <w:r>
              <w:rPr>
                <w:rFonts w:hint="eastAsia" w:ascii="宋体" w:hAnsi="宋体" w:cs="宋体"/>
              </w:rPr>
              <w:t>报价没有重大错漏或重大不合理，并按要求签署、盖章</w:t>
            </w:r>
          </w:p>
        </w:tc>
        <w:tc>
          <w:tcPr>
            <w:tcW w:w="851" w:type="dxa"/>
            <w:tcBorders>
              <w:bottom w:val="single" w:color="auto" w:sz="4" w:space="0"/>
            </w:tcBorders>
            <w:shd w:val="clear" w:color="auto" w:fill="D9D9D9"/>
            <w:vAlign w:val="center"/>
          </w:tcPr>
          <w:p>
            <w:pPr>
              <w:jc w:val="center"/>
              <w:rPr>
                <w:rFonts w:ascii="宋体" w:cs="宋体"/>
              </w:rPr>
            </w:pPr>
            <w:r>
              <w:rPr>
                <w:rFonts w:hint="eastAsia" w:ascii="宋体" w:hAnsi="宋体" w:cs="宋体"/>
                <w:color w:val="FF0000"/>
              </w:rPr>
              <w:t>询价截止日起</w:t>
            </w:r>
            <w:r>
              <w:rPr>
                <w:rFonts w:ascii="宋体" w:hAnsi="宋体" w:cs="宋体"/>
                <w:color w:val="FF0000"/>
              </w:rPr>
              <w:t>90</w:t>
            </w:r>
            <w:r>
              <w:rPr>
                <w:rFonts w:hint="eastAsia" w:ascii="宋体" w:hAnsi="宋体" w:cs="宋体"/>
                <w:color w:val="FF0000"/>
              </w:rPr>
              <w:t>天</w:t>
            </w:r>
          </w:p>
        </w:tc>
        <w:tc>
          <w:tcPr>
            <w:tcW w:w="850" w:type="dxa"/>
            <w:tcBorders>
              <w:bottom w:val="single" w:color="auto" w:sz="4" w:space="0"/>
            </w:tcBorders>
            <w:shd w:val="clear" w:color="auto" w:fill="D9D9D9"/>
            <w:vAlign w:val="center"/>
          </w:tcPr>
          <w:p>
            <w:pPr>
              <w:jc w:val="center"/>
              <w:rPr>
                <w:rFonts w:ascii="宋体" w:cs="宋体"/>
              </w:rPr>
            </w:pPr>
            <w:r>
              <w:rPr>
                <w:rFonts w:hint="eastAsia" w:ascii="宋体" w:hAnsi="宋体" w:cs="宋体"/>
              </w:rPr>
              <w:t>满足询价文件要求</w:t>
            </w:r>
          </w:p>
        </w:tc>
        <w:tc>
          <w:tcPr>
            <w:tcW w:w="1560" w:type="dxa"/>
            <w:tcBorders>
              <w:bottom w:val="single" w:color="auto" w:sz="4" w:space="0"/>
            </w:tcBorders>
            <w:shd w:val="clear" w:color="auto" w:fill="D9D9D9"/>
            <w:vAlign w:val="center"/>
          </w:tcPr>
          <w:p>
            <w:pPr>
              <w:jc w:val="center"/>
              <w:rPr>
                <w:rFonts w:ascii="宋体" w:cs="宋体"/>
              </w:rPr>
            </w:pPr>
            <w:r>
              <w:rPr>
                <w:rFonts w:hint="eastAsia" w:ascii="宋体" w:hAnsi="宋体" w:cs="宋体"/>
              </w:rPr>
              <w:t>没有其他未实质性响应询价文件要求的</w:t>
            </w:r>
          </w:p>
        </w:tc>
        <w:tc>
          <w:tcPr>
            <w:tcW w:w="1275" w:type="dxa"/>
            <w:tcBorders>
              <w:bottom w:val="single" w:color="auto" w:sz="4" w:space="0"/>
            </w:tcBorders>
            <w:shd w:val="clear" w:color="auto" w:fill="D9D9D9"/>
            <w:vAlign w:val="center"/>
          </w:tcPr>
          <w:p>
            <w:pPr>
              <w:jc w:val="center"/>
              <w:rPr>
                <w:rFonts w:ascii="宋体" w:cs="宋体"/>
              </w:rPr>
            </w:pPr>
            <w:r>
              <w:rPr>
                <w:rFonts w:hint="eastAsia" w:ascii="宋体" w:hAnsi="宋体" w:cs="宋体"/>
                <w:color w:val="000000"/>
              </w:rPr>
              <w:t>按法律法规不属于无效响应的</w:t>
            </w:r>
          </w:p>
        </w:tc>
        <w:tc>
          <w:tcPr>
            <w:tcW w:w="851" w:type="dxa"/>
            <w:vMerge w:val="continue"/>
            <w:tcBorders>
              <w:bottom w:val="single" w:color="auto" w:sz="4" w:space="0"/>
            </w:tcBorders>
            <w:shd w:val="clear" w:color="auto" w:fill="D9D9D9"/>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83" w:hRule="atLeast"/>
          <w:jc w:val="center"/>
        </w:trPr>
        <w:tc>
          <w:tcPr>
            <w:tcW w:w="635" w:type="dxa"/>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1</w:t>
            </w:r>
          </w:p>
        </w:tc>
        <w:tc>
          <w:tcPr>
            <w:tcW w:w="2848" w:type="dxa"/>
            <w:shd w:val="clear" w:color="auto" w:fill="auto"/>
            <w:vAlign w:val="center"/>
          </w:tcPr>
          <w:p>
            <w:pPr>
              <w:spacing w:line="360" w:lineRule="auto"/>
              <w:jc w:val="center"/>
              <w:rPr>
                <w:rFonts w:ascii="宋体" w:cs="宋体"/>
              </w:rPr>
            </w:pPr>
          </w:p>
        </w:tc>
        <w:tc>
          <w:tcPr>
            <w:tcW w:w="1303" w:type="dxa"/>
            <w:shd w:val="clear" w:color="auto" w:fill="auto"/>
            <w:vAlign w:val="center"/>
          </w:tcPr>
          <w:p>
            <w:pPr>
              <w:jc w:val="center"/>
              <w:rPr>
                <w:rFonts w:ascii="宋体" w:cs="宋体"/>
              </w:rPr>
            </w:pPr>
          </w:p>
        </w:tc>
        <w:tc>
          <w:tcPr>
            <w:tcW w:w="1843" w:type="dxa"/>
            <w:shd w:val="clear" w:color="auto" w:fill="auto"/>
            <w:vAlign w:val="center"/>
          </w:tcPr>
          <w:p>
            <w:pPr>
              <w:jc w:val="center"/>
              <w:rPr>
                <w:rFonts w:ascii="宋体" w:cs="宋体"/>
              </w:rPr>
            </w:pPr>
          </w:p>
        </w:tc>
        <w:tc>
          <w:tcPr>
            <w:tcW w:w="1134" w:type="dxa"/>
            <w:shd w:val="clear" w:color="auto" w:fill="auto"/>
            <w:vAlign w:val="center"/>
          </w:tcPr>
          <w:p>
            <w:pPr>
              <w:jc w:val="center"/>
              <w:rPr>
                <w:rFonts w:ascii="宋体" w:cs="宋体"/>
              </w:rPr>
            </w:pPr>
          </w:p>
        </w:tc>
        <w:tc>
          <w:tcPr>
            <w:tcW w:w="1984"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c>
          <w:tcPr>
            <w:tcW w:w="850" w:type="dxa"/>
            <w:shd w:val="clear" w:color="auto" w:fill="auto"/>
            <w:vAlign w:val="center"/>
          </w:tcPr>
          <w:p>
            <w:pPr>
              <w:jc w:val="center"/>
              <w:rPr>
                <w:rFonts w:ascii="宋体" w:cs="宋体"/>
              </w:rPr>
            </w:pPr>
          </w:p>
        </w:tc>
        <w:tc>
          <w:tcPr>
            <w:tcW w:w="1560" w:type="dxa"/>
            <w:shd w:val="clear" w:color="auto" w:fill="auto"/>
            <w:vAlign w:val="center"/>
          </w:tcPr>
          <w:p>
            <w:pPr>
              <w:jc w:val="center"/>
              <w:rPr>
                <w:rFonts w:ascii="宋体" w:cs="宋体"/>
              </w:rPr>
            </w:pPr>
          </w:p>
        </w:tc>
        <w:tc>
          <w:tcPr>
            <w:tcW w:w="1275"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61" w:hRule="atLeast"/>
          <w:jc w:val="center"/>
        </w:trPr>
        <w:tc>
          <w:tcPr>
            <w:tcW w:w="635" w:type="dxa"/>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2</w:t>
            </w:r>
          </w:p>
        </w:tc>
        <w:tc>
          <w:tcPr>
            <w:tcW w:w="2848" w:type="dxa"/>
            <w:shd w:val="clear" w:color="auto" w:fill="auto"/>
            <w:vAlign w:val="center"/>
          </w:tcPr>
          <w:p>
            <w:pPr>
              <w:spacing w:line="360" w:lineRule="auto"/>
              <w:jc w:val="center"/>
              <w:rPr>
                <w:rFonts w:ascii="宋体" w:cs="宋体"/>
              </w:rPr>
            </w:pPr>
          </w:p>
        </w:tc>
        <w:tc>
          <w:tcPr>
            <w:tcW w:w="1303" w:type="dxa"/>
            <w:shd w:val="clear" w:color="auto" w:fill="auto"/>
            <w:vAlign w:val="center"/>
          </w:tcPr>
          <w:p>
            <w:pPr>
              <w:jc w:val="center"/>
              <w:rPr>
                <w:rFonts w:ascii="宋体" w:cs="宋体"/>
              </w:rPr>
            </w:pPr>
          </w:p>
        </w:tc>
        <w:tc>
          <w:tcPr>
            <w:tcW w:w="1843" w:type="dxa"/>
            <w:shd w:val="clear" w:color="auto" w:fill="auto"/>
            <w:vAlign w:val="center"/>
          </w:tcPr>
          <w:p>
            <w:pPr>
              <w:jc w:val="center"/>
              <w:rPr>
                <w:rFonts w:ascii="宋体" w:cs="宋体"/>
              </w:rPr>
            </w:pPr>
          </w:p>
        </w:tc>
        <w:tc>
          <w:tcPr>
            <w:tcW w:w="1134" w:type="dxa"/>
            <w:shd w:val="clear" w:color="auto" w:fill="auto"/>
            <w:vAlign w:val="center"/>
          </w:tcPr>
          <w:p>
            <w:pPr>
              <w:jc w:val="center"/>
              <w:rPr>
                <w:rFonts w:ascii="宋体" w:cs="宋体"/>
              </w:rPr>
            </w:pPr>
          </w:p>
        </w:tc>
        <w:tc>
          <w:tcPr>
            <w:tcW w:w="1984"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c>
          <w:tcPr>
            <w:tcW w:w="850" w:type="dxa"/>
            <w:shd w:val="clear" w:color="auto" w:fill="auto"/>
            <w:vAlign w:val="center"/>
          </w:tcPr>
          <w:p>
            <w:pPr>
              <w:jc w:val="center"/>
              <w:rPr>
                <w:rFonts w:ascii="宋体" w:cs="宋体"/>
              </w:rPr>
            </w:pPr>
          </w:p>
        </w:tc>
        <w:tc>
          <w:tcPr>
            <w:tcW w:w="1560" w:type="dxa"/>
            <w:shd w:val="clear" w:color="auto" w:fill="auto"/>
            <w:vAlign w:val="center"/>
          </w:tcPr>
          <w:p>
            <w:pPr>
              <w:jc w:val="center"/>
              <w:rPr>
                <w:rFonts w:ascii="宋体" w:cs="宋体"/>
              </w:rPr>
            </w:pPr>
          </w:p>
        </w:tc>
        <w:tc>
          <w:tcPr>
            <w:tcW w:w="1275"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55" w:hRule="atLeast"/>
          <w:jc w:val="center"/>
        </w:trPr>
        <w:tc>
          <w:tcPr>
            <w:tcW w:w="635" w:type="dxa"/>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3</w:t>
            </w:r>
          </w:p>
        </w:tc>
        <w:tc>
          <w:tcPr>
            <w:tcW w:w="2848" w:type="dxa"/>
            <w:shd w:val="clear" w:color="auto" w:fill="auto"/>
            <w:vAlign w:val="center"/>
          </w:tcPr>
          <w:p>
            <w:pPr>
              <w:spacing w:line="360" w:lineRule="auto"/>
              <w:jc w:val="center"/>
              <w:rPr>
                <w:rFonts w:ascii="宋体" w:cs="宋体"/>
              </w:rPr>
            </w:pPr>
          </w:p>
        </w:tc>
        <w:tc>
          <w:tcPr>
            <w:tcW w:w="1303" w:type="dxa"/>
            <w:shd w:val="clear" w:color="auto" w:fill="auto"/>
            <w:vAlign w:val="center"/>
          </w:tcPr>
          <w:p>
            <w:pPr>
              <w:jc w:val="center"/>
              <w:rPr>
                <w:rFonts w:ascii="宋体" w:cs="宋体"/>
              </w:rPr>
            </w:pPr>
          </w:p>
        </w:tc>
        <w:tc>
          <w:tcPr>
            <w:tcW w:w="1843" w:type="dxa"/>
            <w:shd w:val="clear" w:color="auto" w:fill="auto"/>
            <w:vAlign w:val="center"/>
          </w:tcPr>
          <w:p>
            <w:pPr>
              <w:jc w:val="center"/>
              <w:rPr>
                <w:rFonts w:ascii="宋体" w:cs="宋体"/>
              </w:rPr>
            </w:pPr>
          </w:p>
        </w:tc>
        <w:tc>
          <w:tcPr>
            <w:tcW w:w="1134" w:type="dxa"/>
            <w:shd w:val="clear" w:color="auto" w:fill="auto"/>
            <w:vAlign w:val="center"/>
          </w:tcPr>
          <w:p>
            <w:pPr>
              <w:jc w:val="center"/>
              <w:rPr>
                <w:rFonts w:ascii="宋体" w:cs="宋体"/>
              </w:rPr>
            </w:pPr>
          </w:p>
        </w:tc>
        <w:tc>
          <w:tcPr>
            <w:tcW w:w="1984"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c>
          <w:tcPr>
            <w:tcW w:w="850" w:type="dxa"/>
            <w:shd w:val="clear" w:color="auto" w:fill="auto"/>
            <w:vAlign w:val="center"/>
          </w:tcPr>
          <w:p>
            <w:pPr>
              <w:jc w:val="center"/>
              <w:rPr>
                <w:rFonts w:ascii="宋体" w:cs="宋体"/>
              </w:rPr>
            </w:pPr>
          </w:p>
        </w:tc>
        <w:tc>
          <w:tcPr>
            <w:tcW w:w="1560" w:type="dxa"/>
            <w:shd w:val="clear" w:color="auto" w:fill="auto"/>
            <w:vAlign w:val="center"/>
          </w:tcPr>
          <w:p>
            <w:pPr>
              <w:jc w:val="center"/>
              <w:rPr>
                <w:rFonts w:ascii="宋体" w:cs="宋体"/>
              </w:rPr>
            </w:pPr>
          </w:p>
        </w:tc>
        <w:tc>
          <w:tcPr>
            <w:tcW w:w="1275"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49" w:hRule="atLeast"/>
          <w:jc w:val="center"/>
        </w:trPr>
        <w:tc>
          <w:tcPr>
            <w:tcW w:w="635" w:type="dxa"/>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4</w:t>
            </w:r>
          </w:p>
        </w:tc>
        <w:tc>
          <w:tcPr>
            <w:tcW w:w="2848" w:type="dxa"/>
            <w:shd w:val="clear" w:color="auto" w:fill="auto"/>
            <w:vAlign w:val="center"/>
          </w:tcPr>
          <w:p>
            <w:pPr>
              <w:spacing w:line="360" w:lineRule="auto"/>
              <w:jc w:val="center"/>
              <w:rPr>
                <w:rFonts w:ascii="宋体" w:cs="宋体"/>
              </w:rPr>
            </w:pPr>
          </w:p>
        </w:tc>
        <w:tc>
          <w:tcPr>
            <w:tcW w:w="1303" w:type="dxa"/>
            <w:shd w:val="clear" w:color="auto" w:fill="auto"/>
            <w:vAlign w:val="center"/>
          </w:tcPr>
          <w:p>
            <w:pPr>
              <w:jc w:val="center"/>
              <w:rPr>
                <w:rFonts w:ascii="宋体" w:cs="宋体"/>
              </w:rPr>
            </w:pPr>
          </w:p>
        </w:tc>
        <w:tc>
          <w:tcPr>
            <w:tcW w:w="1843" w:type="dxa"/>
            <w:shd w:val="clear" w:color="auto" w:fill="auto"/>
            <w:vAlign w:val="center"/>
          </w:tcPr>
          <w:p>
            <w:pPr>
              <w:jc w:val="center"/>
              <w:rPr>
                <w:rFonts w:ascii="宋体" w:cs="宋体"/>
              </w:rPr>
            </w:pPr>
          </w:p>
        </w:tc>
        <w:tc>
          <w:tcPr>
            <w:tcW w:w="1134" w:type="dxa"/>
            <w:shd w:val="clear" w:color="auto" w:fill="auto"/>
            <w:vAlign w:val="center"/>
          </w:tcPr>
          <w:p>
            <w:pPr>
              <w:jc w:val="center"/>
              <w:rPr>
                <w:rFonts w:ascii="宋体" w:cs="宋体"/>
              </w:rPr>
            </w:pPr>
          </w:p>
        </w:tc>
        <w:tc>
          <w:tcPr>
            <w:tcW w:w="1984"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c>
          <w:tcPr>
            <w:tcW w:w="850" w:type="dxa"/>
            <w:shd w:val="clear" w:color="auto" w:fill="auto"/>
            <w:vAlign w:val="center"/>
          </w:tcPr>
          <w:p>
            <w:pPr>
              <w:jc w:val="center"/>
              <w:rPr>
                <w:rFonts w:ascii="宋体" w:cs="宋体"/>
              </w:rPr>
            </w:pPr>
          </w:p>
        </w:tc>
        <w:tc>
          <w:tcPr>
            <w:tcW w:w="1560" w:type="dxa"/>
            <w:shd w:val="clear" w:color="auto" w:fill="auto"/>
            <w:vAlign w:val="center"/>
          </w:tcPr>
          <w:p>
            <w:pPr>
              <w:jc w:val="center"/>
              <w:rPr>
                <w:rFonts w:ascii="宋体" w:cs="宋体"/>
              </w:rPr>
            </w:pPr>
          </w:p>
        </w:tc>
        <w:tc>
          <w:tcPr>
            <w:tcW w:w="1275"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29" w:hRule="atLeast"/>
          <w:jc w:val="center"/>
        </w:trPr>
        <w:tc>
          <w:tcPr>
            <w:tcW w:w="635" w:type="dxa"/>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5</w:t>
            </w:r>
          </w:p>
        </w:tc>
        <w:tc>
          <w:tcPr>
            <w:tcW w:w="2848" w:type="dxa"/>
            <w:shd w:val="clear" w:color="auto" w:fill="auto"/>
            <w:vAlign w:val="center"/>
          </w:tcPr>
          <w:p>
            <w:pPr>
              <w:spacing w:line="360" w:lineRule="auto"/>
              <w:jc w:val="center"/>
              <w:rPr>
                <w:rFonts w:ascii="宋体" w:cs="宋体"/>
              </w:rPr>
            </w:pPr>
          </w:p>
        </w:tc>
        <w:tc>
          <w:tcPr>
            <w:tcW w:w="1303" w:type="dxa"/>
            <w:shd w:val="clear" w:color="auto" w:fill="auto"/>
            <w:vAlign w:val="center"/>
          </w:tcPr>
          <w:p>
            <w:pPr>
              <w:jc w:val="center"/>
              <w:rPr>
                <w:rFonts w:ascii="宋体" w:cs="宋体"/>
              </w:rPr>
            </w:pPr>
          </w:p>
        </w:tc>
        <w:tc>
          <w:tcPr>
            <w:tcW w:w="1843" w:type="dxa"/>
            <w:shd w:val="clear" w:color="auto" w:fill="auto"/>
            <w:vAlign w:val="center"/>
          </w:tcPr>
          <w:p>
            <w:pPr>
              <w:jc w:val="center"/>
              <w:rPr>
                <w:rFonts w:ascii="宋体" w:cs="宋体"/>
              </w:rPr>
            </w:pPr>
          </w:p>
        </w:tc>
        <w:tc>
          <w:tcPr>
            <w:tcW w:w="1134" w:type="dxa"/>
            <w:shd w:val="clear" w:color="auto" w:fill="auto"/>
            <w:vAlign w:val="center"/>
          </w:tcPr>
          <w:p>
            <w:pPr>
              <w:jc w:val="center"/>
              <w:rPr>
                <w:rFonts w:ascii="宋体" w:cs="宋体"/>
              </w:rPr>
            </w:pPr>
          </w:p>
        </w:tc>
        <w:tc>
          <w:tcPr>
            <w:tcW w:w="1984"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c>
          <w:tcPr>
            <w:tcW w:w="850" w:type="dxa"/>
            <w:shd w:val="clear" w:color="auto" w:fill="auto"/>
            <w:vAlign w:val="center"/>
          </w:tcPr>
          <w:p>
            <w:pPr>
              <w:jc w:val="center"/>
              <w:rPr>
                <w:rFonts w:ascii="宋体" w:cs="宋体"/>
              </w:rPr>
            </w:pPr>
          </w:p>
        </w:tc>
        <w:tc>
          <w:tcPr>
            <w:tcW w:w="1560" w:type="dxa"/>
            <w:shd w:val="clear" w:color="auto" w:fill="auto"/>
            <w:vAlign w:val="center"/>
          </w:tcPr>
          <w:p>
            <w:pPr>
              <w:jc w:val="center"/>
              <w:rPr>
                <w:rFonts w:ascii="宋体" w:cs="宋体"/>
              </w:rPr>
            </w:pPr>
          </w:p>
        </w:tc>
        <w:tc>
          <w:tcPr>
            <w:tcW w:w="1275"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r>
    </w:tbl>
    <w:p>
      <w:pPr>
        <w:spacing w:line="400" w:lineRule="exact"/>
        <w:rPr>
          <w:rFonts w:ascii="宋体" w:cs="宋体"/>
          <w:b/>
          <w:bCs/>
          <w:sz w:val="28"/>
          <w:szCs w:val="28"/>
        </w:rPr>
      </w:pPr>
      <w:r>
        <w:rPr>
          <w:rFonts w:hint="eastAsia" w:ascii="宋体" w:hAnsi="宋体" w:cs="宋体"/>
          <w:b/>
          <w:bCs/>
        </w:rPr>
        <w:t>注：</w:t>
      </w:r>
      <w:r>
        <w:rPr>
          <w:rFonts w:ascii="宋体" w:hAnsi="宋体" w:cs="宋体"/>
        </w:rPr>
        <w:t>1</w:t>
      </w:r>
      <w:r>
        <w:rPr>
          <w:rFonts w:hint="eastAsia" w:ascii="宋体" w:hAnsi="宋体" w:cs="宋体"/>
        </w:rPr>
        <w:t>、符合审查表的打“Ο”，不符合审查表的打“×”。全部打“Ο”的结论填写通过，出现一个“×”的结论填写不通过。</w:t>
      </w:r>
    </w:p>
    <w:p>
      <w:pPr>
        <w:spacing w:line="400" w:lineRule="exact"/>
        <w:ind w:left="-359" w:leftChars="-171" w:right="-233" w:rightChars="-111" w:firstLine="2" w:firstLineChars="1"/>
        <w:rPr>
          <w:rFonts w:ascii="宋体" w:hAnsi="宋体" w:cs="宋体"/>
        </w:rPr>
      </w:pPr>
      <w:r>
        <w:rPr>
          <w:rFonts w:ascii="宋体" w:hAnsi="宋体" w:cs="宋体"/>
        </w:rPr>
        <w:t xml:space="preserve">        2</w:t>
      </w:r>
      <w:r>
        <w:rPr>
          <w:rFonts w:hint="eastAsia" w:ascii="宋体" w:hAnsi="宋体" w:cs="宋体"/>
        </w:rPr>
        <w:t>、结论为通过的供应商可以进入下一阶段的评审。</w:t>
      </w:r>
    </w:p>
    <w:p>
      <w:pPr>
        <w:pStyle w:val="2"/>
        <w:ind w:firstLine="0" w:firstLineChars="0"/>
        <w:rPr>
          <w:rFonts w:cs="Times New Roman"/>
        </w:rPr>
        <w:sectPr>
          <w:pgSz w:w="16838" w:h="11906" w:orient="landscape"/>
          <w:pgMar w:top="1797" w:right="1440" w:bottom="1797" w:left="1440" w:header="851" w:footer="992" w:gutter="0"/>
          <w:cols w:space="425" w:num="1"/>
          <w:docGrid w:type="linesAndChars" w:linePitch="312" w:charSpace="0"/>
        </w:sectPr>
      </w:pPr>
    </w:p>
    <w:p>
      <w:pPr>
        <w:pStyle w:val="3"/>
        <w:jc w:val="center"/>
        <w:rPr>
          <w:sz w:val="36"/>
          <w:szCs w:val="36"/>
        </w:rPr>
      </w:pPr>
      <w:bookmarkStart w:id="60" w:name="_Toc454458060"/>
      <w:bookmarkStart w:id="61" w:name="_Toc50737290"/>
      <w:bookmarkStart w:id="62" w:name="_Toc50691023"/>
      <w:bookmarkStart w:id="63" w:name="_Toc50737322"/>
      <w:bookmarkStart w:id="64" w:name="_Toc87417452"/>
      <w:bookmarkStart w:id="65" w:name="_Toc50736470"/>
      <w:bookmarkStart w:id="66" w:name="_Toc4423"/>
      <w:bookmarkStart w:id="67" w:name="_Toc43264513"/>
      <w:r>
        <w:rPr>
          <w:rFonts w:hint="eastAsia"/>
          <w:sz w:val="36"/>
          <w:szCs w:val="36"/>
        </w:rPr>
        <w:t xml:space="preserve">第四章 </w:t>
      </w:r>
      <w:r>
        <w:rPr>
          <w:rFonts w:hint="eastAsia"/>
          <w:color w:val="000000" w:themeColor="text1"/>
          <w:sz w:val="36"/>
          <w:szCs w:val="36"/>
          <w14:textFill>
            <w14:solidFill>
              <w14:schemeClr w14:val="tx1"/>
            </w14:solidFill>
          </w14:textFill>
        </w:rPr>
        <w:t>合同</w:t>
      </w:r>
      <w:bookmarkEnd w:id="60"/>
      <w:bookmarkEnd w:id="61"/>
      <w:bookmarkEnd w:id="62"/>
      <w:bookmarkEnd w:id="63"/>
      <w:bookmarkEnd w:id="64"/>
      <w:bookmarkEnd w:id="65"/>
      <w:r>
        <w:rPr>
          <w:rFonts w:hint="eastAsia"/>
          <w:color w:val="000000" w:themeColor="text1"/>
          <w:sz w:val="36"/>
          <w:szCs w:val="36"/>
          <w14:textFill>
            <w14:solidFill>
              <w14:schemeClr w14:val="tx1"/>
            </w14:solidFill>
          </w14:textFill>
        </w:rPr>
        <w:t>格式</w:t>
      </w:r>
      <w:bookmarkEnd w:id="66"/>
      <w:r>
        <w:rPr>
          <w:rFonts w:hint="eastAsia"/>
          <w:color w:val="000000" w:themeColor="text1"/>
          <w:sz w:val="36"/>
          <w:szCs w:val="36"/>
          <w14:textFill>
            <w14:solidFill>
              <w14:schemeClr w14:val="tx1"/>
            </w14:solidFill>
          </w14:textFill>
        </w:rPr>
        <w:t>和范文</w:t>
      </w:r>
    </w:p>
    <w:p>
      <w:pPr>
        <w:adjustRightInd w:val="0"/>
        <w:snapToGrid w:val="0"/>
        <w:jc w:val="left"/>
        <w:rPr>
          <w:rFonts w:ascii="宋体" w:hAnsi="Times New Roman" w:cs="宋体"/>
          <w:b/>
          <w:sz w:val="24"/>
        </w:rPr>
      </w:pPr>
    </w:p>
    <w:p>
      <w:pPr>
        <w:adjustRightInd w:val="0"/>
        <w:snapToGrid w:val="0"/>
        <w:jc w:val="left"/>
        <w:rPr>
          <w:rFonts w:ascii="宋体" w:hAnsi="Times New Roman" w:cs="宋体"/>
          <w:b/>
          <w:sz w:val="24"/>
        </w:rPr>
      </w:pPr>
    </w:p>
    <w:p>
      <w:pPr>
        <w:adjustRightInd w:val="0"/>
        <w:snapToGrid w:val="0"/>
        <w:jc w:val="left"/>
        <w:rPr>
          <w:rFonts w:ascii="宋体" w:hAnsi="Times New Roman" w:cs="宋体"/>
          <w:b/>
          <w:sz w:val="24"/>
        </w:rPr>
      </w:pPr>
    </w:p>
    <w:p>
      <w:pPr>
        <w:adjustRightInd w:val="0"/>
        <w:snapToGrid w:val="0"/>
        <w:jc w:val="left"/>
        <w:rPr>
          <w:rFonts w:ascii="宋体" w:hAnsi="Times New Roman" w:cs="宋体"/>
          <w:b/>
          <w:sz w:val="24"/>
        </w:rPr>
      </w:pPr>
    </w:p>
    <w:p>
      <w:pPr>
        <w:adjustRightInd w:val="0"/>
        <w:snapToGrid w:val="0"/>
        <w:jc w:val="left"/>
        <w:rPr>
          <w:rFonts w:ascii="宋体" w:hAnsi="Times New Roman" w:cs="宋体"/>
          <w:b/>
          <w:sz w:val="24"/>
        </w:rPr>
      </w:pPr>
    </w:p>
    <w:p>
      <w:pPr>
        <w:jc w:val="center"/>
        <w:rPr>
          <w:rFonts w:eastAsia="黑体"/>
          <w:sz w:val="48"/>
        </w:rPr>
      </w:pPr>
    </w:p>
    <w:p>
      <w:pPr>
        <w:jc w:val="center"/>
        <w:rPr>
          <w:rFonts w:eastAsia="黑体"/>
          <w:sz w:val="48"/>
        </w:rPr>
      </w:pPr>
    </w:p>
    <w:p>
      <w:pPr>
        <w:jc w:val="center"/>
        <w:rPr>
          <w:rFonts w:eastAsia="黑体"/>
          <w:sz w:val="48"/>
        </w:rPr>
      </w:pPr>
    </w:p>
    <w:p>
      <w:pPr>
        <w:jc w:val="center"/>
        <w:rPr>
          <w:rFonts w:eastAsia="黑体"/>
          <w:sz w:val="48"/>
          <w:highlight w:val="yellow"/>
        </w:rPr>
      </w:pPr>
      <w:r>
        <w:rPr>
          <w:rFonts w:hint="eastAsia" w:eastAsia="黑体"/>
          <w:sz w:val="48"/>
          <w:highlight w:val="yellow"/>
        </w:rPr>
        <w:t xml:space="preserve">变 压 器 维 保 </w:t>
      </w:r>
      <w:r>
        <w:rPr>
          <w:rFonts w:eastAsia="黑体"/>
          <w:sz w:val="48"/>
          <w:highlight w:val="yellow"/>
        </w:rPr>
        <w:t>合 同</w:t>
      </w:r>
    </w:p>
    <w:p>
      <w:pPr>
        <w:jc w:val="center"/>
        <w:rPr>
          <w:rFonts w:eastAsia="黑体"/>
          <w:sz w:val="48"/>
        </w:rPr>
      </w:pPr>
    </w:p>
    <w:p>
      <w:pPr>
        <w:jc w:val="center"/>
        <w:rPr>
          <w:rFonts w:eastAsia="黑体"/>
          <w:sz w:val="48"/>
        </w:rPr>
      </w:pPr>
    </w:p>
    <w:p>
      <w:pPr>
        <w:jc w:val="center"/>
        <w:rPr>
          <w:rFonts w:eastAsia="黑体"/>
          <w:sz w:val="48"/>
        </w:rPr>
      </w:pPr>
    </w:p>
    <w:p>
      <w:pPr>
        <w:jc w:val="center"/>
        <w:rPr>
          <w:rFonts w:eastAsia="黑体"/>
          <w:sz w:val="32"/>
        </w:rPr>
      </w:pPr>
    </w:p>
    <w:p/>
    <w:p/>
    <w:p/>
    <w:p>
      <w:pPr>
        <w:rPr>
          <w:sz w:val="32"/>
          <w:szCs w:val="32"/>
        </w:rPr>
      </w:pPr>
      <w:r>
        <w:rPr>
          <w:rFonts w:hint="eastAsia"/>
          <w:b/>
          <w:sz w:val="36"/>
          <w:szCs w:val="36"/>
        </w:rPr>
        <w:t>项目名称：</w:t>
      </w:r>
      <w:r>
        <w:rPr>
          <w:rFonts w:hint="eastAsia" w:ascii="宋体" w:hAnsi="宋体" w:cs="宋体"/>
          <w:sz w:val="32"/>
          <w:szCs w:val="32"/>
        </w:rPr>
        <w:t>广西南宁技师学院202</w:t>
      </w:r>
      <w:r>
        <w:rPr>
          <w:rFonts w:hint="eastAsia" w:ascii="宋体" w:hAnsi="宋体" w:cs="宋体"/>
          <w:sz w:val="32"/>
          <w:szCs w:val="32"/>
          <w:lang w:val="en-US" w:eastAsia="zh-CN"/>
        </w:rPr>
        <w:t>5</w:t>
      </w:r>
      <w:r>
        <w:rPr>
          <w:rFonts w:hint="eastAsia" w:ascii="宋体" w:hAnsi="宋体" w:cs="宋体"/>
          <w:sz w:val="32"/>
          <w:szCs w:val="32"/>
        </w:rPr>
        <w:t>年</w:t>
      </w:r>
      <w:r>
        <w:rPr>
          <w:rFonts w:hint="eastAsia" w:ascii="宋体" w:hAnsi="宋体" w:cs="宋体"/>
          <w:kern w:val="28"/>
          <w:sz w:val="32"/>
          <w:szCs w:val="32"/>
        </w:rPr>
        <w:t>各校区变压器维保</w:t>
      </w:r>
      <w:r>
        <w:rPr>
          <w:rFonts w:hint="eastAsia" w:ascii="宋体" w:hAnsi="宋体" w:cs="宋体"/>
          <w:sz w:val="32"/>
          <w:szCs w:val="32"/>
        </w:rPr>
        <w:t>服务</w:t>
      </w:r>
    </w:p>
    <w:p>
      <w:pPr>
        <w:rPr>
          <w:sz w:val="30"/>
          <w:szCs w:val="30"/>
        </w:rPr>
      </w:pPr>
    </w:p>
    <w:p>
      <w:r>
        <w:rPr>
          <w:rFonts w:hint="eastAsia"/>
          <w:b/>
          <w:sz w:val="36"/>
          <w:szCs w:val="36"/>
        </w:rPr>
        <w:t>项目编号：</w:t>
      </w:r>
    </w:p>
    <w:p/>
    <w:p>
      <w:pPr>
        <w:rPr>
          <w:sz w:val="30"/>
          <w:szCs w:val="30"/>
        </w:rPr>
      </w:pPr>
      <w:r>
        <w:rPr>
          <w:sz w:val="30"/>
          <w:szCs w:val="30"/>
        </w:rPr>
        <w:t>甲  方：</w:t>
      </w:r>
      <w:r>
        <w:rPr>
          <w:rFonts w:hint="eastAsia"/>
          <w:sz w:val="30"/>
          <w:szCs w:val="30"/>
        </w:rPr>
        <w:t>广西南宁技师学院</w:t>
      </w:r>
    </w:p>
    <w:p>
      <w:pPr>
        <w:rPr>
          <w:sz w:val="30"/>
          <w:szCs w:val="30"/>
        </w:rPr>
      </w:pPr>
    </w:p>
    <w:p>
      <w:r>
        <w:rPr>
          <w:sz w:val="30"/>
          <w:szCs w:val="30"/>
        </w:rPr>
        <w:t>乙  方：</w:t>
      </w:r>
    </w:p>
    <w:p/>
    <w:p/>
    <w:p>
      <w:pPr>
        <w:rPr>
          <w:sz w:val="30"/>
          <w:szCs w:val="30"/>
        </w:rPr>
      </w:pPr>
      <w:r>
        <w:rPr>
          <w:rFonts w:hint="eastAsia"/>
          <w:sz w:val="30"/>
          <w:szCs w:val="30"/>
        </w:rPr>
        <w:t>日  期：</w:t>
      </w:r>
    </w:p>
    <w:p>
      <w:pPr>
        <w:jc w:val="center"/>
        <w:rPr>
          <w:b/>
          <w:sz w:val="36"/>
          <w:szCs w:val="36"/>
        </w:rPr>
      </w:pPr>
      <w:r>
        <w:rPr>
          <w:rFonts w:hint="eastAsia"/>
          <w:b/>
          <w:sz w:val="36"/>
          <w:szCs w:val="36"/>
        </w:rPr>
        <w:t>目</w:t>
      </w:r>
      <w:r>
        <w:rPr>
          <w:b/>
          <w:sz w:val="36"/>
          <w:szCs w:val="36"/>
        </w:rPr>
        <w:t xml:space="preserve">  </w:t>
      </w:r>
      <w:r>
        <w:rPr>
          <w:rFonts w:hint="eastAsia"/>
          <w:b/>
          <w:sz w:val="36"/>
          <w:szCs w:val="36"/>
        </w:rPr>
        <w:t>录</w:t>
      </w:r>
    </w:p>
    <w:p>
      <w:pPr>
        <w:tabs>
          <w:tab w:val="left" w:pos="1170"/>
        </w:tabs>
        <w:spacing w:line="360" w:lineRule="auto"/>
        <w:ind w:left="359" w:leftChars="171" w:firstLine="198" w:firstLineChars="71"/>
        <w:rPr>
          <w:rFonts w:ascii="宋体" w:hAnsi="宋体"/>
          <w:sz w:val="28"/>
        </w:rPr>
      </w:pPr>
      <w:r>
        <w:rPr>
          <w:rFonts w:hint="eastAsia" w:ascii="宋体" w:hAnsi="宋体"/>
          <w:sz w:val="28"/>
        </w:rPr>
        <w:tab/>
      </w:r>
    </w:p>
    <w:p>
      <w:pPr>
        <w:rPr>
          <w:b/>
          <w:sz w:val="30"/>
          <w:szCs w:val="30"/>
        </w:rPr>
      </w:pPr>
      <w:r>
        <w:rPr>
          <w:rFonts w:hint="eastAsia"/>
          <w:b/>
          <w:sz w:val="30"/>
          <w:szCs w:val="30"/>
        </w:rPr>
        <w:t>一、广西南宁技师学院自行采购合同书</w:t>
      </w:r>
    </w:p>
    <w:p>
      <w:pPr>
        <w:rPr>
          <w:b/>
          <w:sz w:val="30"/>
          <w:szCs w:val="30"/>
        </w:rPr>
      </w:pPr>
      <w:r>
        <w:rPr>
          <w:rFonts w:hint="eastAsia"/>
          <w:b/>
          <w:sz w:val="30"/>
          <w:szCs w:val="30"/>
        </w:rPr>
        <w:t>二、合同附件</w:t>
      </w:r>
    </w:p>
    <w:p>
      <w:pPr>
        <w:numPr>
          <w:ilvl w:val="0"/>
          <w:numId w:val="2"/>
        </w:numPr>
        <w:tabs>
          <w:tab w:val="left" w:pos="972"/>
        </w:tabs>
        <w:rPr>
          <w:rFonts w:ascii="宋体" w:hAnsi="宋体"/>
          <w:sz w:val="28"/>
        </w:rPr>
      </w:pPr>
      <w:r>
        <w:rPr>
          <w:rFonts w:hint="eastAsia" w:ascii="宋体" w:hAnsi="宋体"/>
          <w:sz w:val="28"/>
        </w:rPr>
        <w:t>中标通知书</w:t>
      </w:r>
    </w:p>
    <w:p>
      <w:pPr>
        <w:numPr>
          <w:ilvl w:val="0"/>
          <w:numId w:val="2"/>
        </w:numPr>
        <w:tabs>
          <w:tab w:val="left" w:pos="972"/>
        </w:tabs>
        <w:rPr>
          <w:rFonts w:ascii="宋体" w:hAnsi="宋体"/>
          <w:sz w:val="28"/>
        </w:rPr>
      </w:pPr>
      <w:r>
        <w:rPr>
          <w:rFonts w:hint="eastAsia" w:ascii="宋体" w:hAnsi="宋体"/>
          <w:sz w:val="28"/>
        </w:rPr>
        <w:t>询价文件采购需求书</w:t>
      </w:r>
    </w:p>
    <w:p>
      <w:pPr>
        <w:numPr>
          <w:ilvl w:val="0"/>
          <w:numId w:val="2"/>
        </w:numPr>
        <w:tabs>
          <w:tab w:val="left" w:pos="972"/>
        </w:tabs>
        <w:rPr>
          <w:rFonts w:ascii="宋体" w:hAnsi="宋体"/>
          <w:sz w:val="28"/>
        </w:rPr>
      </w:pPr>
      <w:r>
        <w:rPr>
          <w:rFonts w:hint="eastAsia" w:ascii="宋体" w:hAnsi="宋体"/>
          <w:sz w:val="28"/>
        </w:rPr>
        <w:t>询价文件的更改通知（如有）</w:t>
      </w:r>
    </w:p>
    <w:p>
      <w:pPr>
        <w:numPr>
          <w:ilvl w:val="0"/>
          <w:numId w:val="2"/>
        </w:numPr>
        <w:tabs>
          <w:tab w:val="left" w:pos="972"/>
        </w:tabs>
        <w:rPr>
          <w:rFonts w:ascii="宋体" w:hAnsi="宋体"/>
          <w:sz w:val="28"/>
        </w:rPr>
      </w:pPr>
      <w:r>
        <w:rPr>
          <w:rFonts w:hint="eastAsia" w:ascii="宋体" w:hAnsi="宋体"/>
          <w:sz w:val="28"/>
        </w:rPr>
        <w:t>投标响应函</w:t>
      </w:r>
    </w:p>
    <w:p>
      <w:pPr>
        <w:numPr>
          <w:ilvl w:val="0"/>
          <w:numId w:val="2"/>
        </w:numPr>
        <w:tabs>
          <w:tab w:val="left" w:pos="972"/>
        </w:tabs>
        <w:rPr>
          <w:rFonts w:ascii="宋体" w:hAnsi="宋体"/>
          <w:sz w:val="28"/>
        </w:rPr>
      </w:pPr>
      <w:r>
        <w:rPr>
          <w:rFonts w:hint="eastAsia" w:ascii="宋体" w:hAnsi="宋体"/>
          <w:sz w:val="28"/>
        </w:rPr>
        <w:t>投标报价表</w:t>
      </w:r>
    </w:p>
    <w:p>
      <w:pPr>
        <w:numPr>
          <w:ilvl w:val="0"/>
          <w:numId w:val="2"/>
        </w:numPr>
        <w:tabs>
          <w:tab w:val="left" w:pos="972"/>
        </w:tabs>
        <w:rPr>
          <w:rFonts w:hint="eastAsia" w:eastAsia="宋体"/>
          <w:lang w:val="en-US" w:eastAsia="zh-CN"/>
        </w:rPr>
      </w:pPr>
      <w:r>
        <w:rPr>
          <w:rFonts w:hint="eastAsia" w:ascii="宋体" w:hAnsi="宋体"/>
          <w:sz w:val="28"/>
        </w:rPr>
        <w:t>投标报价</w:t>
      </w:r>
      <w:r>
        <w:rPr>
          <w:rFonts w:hint="eastAsia" w:ascii="宋体" w:hAnsi="宋体"/>
          <w:sz w:val="28"/>
          <w:lang w:val="en-US" w:eastAsia="zh-CN"/>
        </w:rPr>
        <w:t>明细</w:t>
      </w:r>
      <w:r>
        <w:rPr>
          <w:rFonts w:hint="eastAsia" w:ascii="宋体" w:hAnsi="宋体"/>
          <w:sz w:val="28"/>
        </w:rPr>
        <w:t>表</w:t>
      </w:r>
    </w:p>
    <w:p>
      <w:pPr>
        <w:numPr>
          <w:ilvl w:val="0"/>
          <w:numId w:val="2"/>
        </w:numPr>
        <w:tabs>
          <w:tab w:val="left" w:pos="972"/>
        </w:tabs>
        <w:rPr>
          <w:rFonts w:ascii="宋体" w:hAnsi="宋体"/>
          <w:sz w:val="28"/>
        </w:rPr>
      </w:pPr>
      <w:r>
        <w:rPr>
          <w:rFonts w:hint="eastAsia" w:ascii="宋体" w:hAnsi="宋体"/>
          <w:sz w:val="28"/>
        </w:rPr>
        <w:t>投标“▲”条款响应一览表</w:t>
      </w:r>
    </w:p>
    <w:p>
      <w:pPr>
        <w:numPr>
          <w:ilvl w:val="0"/>
          <w:numId w:val="2"/>
        </w:numPr>
        <w:tabs>
          <w:tab w:val="left" w:pos="972"/>
        </w:tabs>
        <w:rPr>
          <w:rFonts w:ascii="宋体" w:hAnsi="宋体"/>
          <w:sz w:val="28"/>
        </w:rPr>
      </w:pPr>
      <w:r>
        <w:rPr>
          <w:rFonts w:hint="eastAsia" w:ascii="宋体" w:hAnsi="宋体"/>
          <w:sz w:val="28"/>
        </w:rPr>
        <w:t>中标供应商澄清函</w:t>
      </w:r>
    </w:p>
    <w:p>
      <w:pPr>
        <w:tabs>
          <w:tab w:val="left" w:pos="972"/>
        </w:tabs>
        <w:ind w:left="420"/>
        <w:rPr>
          <w:rFonts w:ascii="宋体" w:hAnsi="宋体"/>
          <w:sz w:val="28"/>
        </w:rPr>
      </w:pPr>
    </w:p>
    <w:p>
      <w:pPr>
        <w:pStyle w:val="2"/>
        <w:ind w:firstLine="0" w:firstLineChars="0"/>
        <w:sectPr>
          <w:pgSz w:w="11906" w:h="16838"/>
          <w:pgMar w:top="1135" w:right="1135" w:bottom="1135" w:left="1135" w:header="685" w:footer="567" w:gutter="0"/>
          <w:cols w:space="720" w:num="1"/>
          <w:docGrid w:type="lines" w:linePitch="312" w:charSpace="0"/>
        </w:sectPr>
      </w:pPr>
    </w:p>
    <w:p>
      <w:pPr>
        <w:spacing w:line="360" w:lineRule="auto"/>
        <w:ind w:left="416" w:leftChars="198" w:firstLine="411" w:firstLineChars="196"/>
      </w:pPr>
      <w:r>
        <w:rPr>
          <w:rFonts w:hint="eastAsia"/>
        </w:rPr>
        <w:t>为了及时发现甲方产权电气设备隐患、协助预防事故的发生，甲方委托乙方对其产权电气设备进行试验及维护服务。经双方协商同意，签订本协议，并共同遵守如下具体条款：</w:t>
      </w:r>
    </w:p>
    <w:p>
      <w:pPr>
        <w:tabs>
          <w:tab w:val="left" w:pos="663"/>
          <w:tab w:val="left" w:pos="884"/>
        </w:tabs>
        <w:spacing w:line="360" w:lineRule="auto"/>
        <w:ind w:left="442"/>
        <w:rPr>
          <w:rFonts w:ascii="宋体" w:hAnsi="宋体"/>
          <w:b/>
        </w:rPr>
      </w:pPr>
      <w:r>
        <w:rPr>
          <w:rFonts w:hint="eastAsia" w:ascii="宋体" w:hAnsi="宋体"/>
          <w:b/>
        </w:rPr>
        <w:t>一.试验、维护范围</w:t>
      </w:r>
    </w:p>
    <w:p>
      <w:pPr>
        <w:spacing w:line="360" w:lineRule="auto"/>
        <w:ind w:left="420" w:leftChars="200" w:firstLine="394" w:firstLineChars="188"/>
        <w:rPr>
          <w:rFonts w:ascii="宋体" w:hAnsi="宋体"/>
        </w:rPr>
      </w:pPr>
      <w:r>
        <w:rPr>
          <w:rFonts w:hint="eastAsia" w:ascii="宋体" w:hAnsi="宋体"/>
        </w:rPr>
        <w:t>1.1试验服务范围</w:t>
      </w:r>
    </w:p>
    <w:p>
      <w:pPr>
        <w:tabs>
          <w:tab w:val="left" w:pos="6851"/>
        </w:tabs>
        <w:spacing w:line="360" w:lineRule="auto"/>
        <w:ind w:left="420" w:leftChars="200" w:firstLine="382" w:firstLineChars="182"/>
        <w:rPr>
          <w:rFonts w:ascii="宋体" w:hAnsi="宋体"/>
        </w:rPr>
      </w:pPr>
      <w:r>
        <w:rPr>
          <w:rFonts w:hint="eastAsia"/>
        </w:rPr>
        <w:t>乙方对甲方委托的属甲方产权部分的高、低压电气设备进行试验（</w:t>
      </w:r>
      <w:r>
        <w:rPr>
          <w:rFonts w:hint="eastAsia"/>
          <w:bCs/>
        </w:rPr>
        <w:t>因外线路停电不受本公司控制，进线开关、令克等设备电源侧部分不在试验范围</w:t>
      </w:r>
      <w:r>
        <w:rPr>
          <w:rFonts w:hint="eastAsia"/>
        </w:rPr>
        <w:t>）。</w:t>
      </w:r>
    </w:p>
    <w:p>
      <w:pPr>
        <w:spacing w:line="360" w:lineRule="auto"/>
        <w:ind w:left="420" w:leftChars="200" w:firstLine="394" w:firstLineChars="188"/>
        <w:rPr>
          <w:rFonts w:ascii="宋体" w:hAnsi="宋体"/>
        </w:rPr>
      </w:pPr>
      <w:r>
        <w:rPr>
          <w:rFonts w:hint="eastAsia" w:ascii="宋体" w:hAnsi="宋体"/>
        </w:rPr>
        <w:t>1.2维护服务范围</w:t>
      </w:r>
    </w:p>
    <w:p>
      <w:pPr>
        <w:spacing w:line="360" w:lineRule="auto"/>
        <w:ind w:left="420" w:leftChars="200" w:firstLine="394" w:firstLineChars="188"/>
        <w:rPr>
          <w:rFonts w:ascii="宋体" w:hAnsi="宋体"/>
        </w:rPr>
      </w:pPr>
      <w:r>
        <w:rPr>
          <w:rFonts w:hint="eastAsia" w:ascii="宋体" w:hAnsi="宋体"/>
        </w:rPr>
        <w:t>甲方委托乙方维护的属甲方产权部分的高、低压电气设备（因外线路停电不受本公司控制，进线开关、令克等设备电源侧部分不在维护范围）。</w:t>
      </w:r>
    </w:p>
    <w:p>
      <w:pPr>
        <w:numPr>
          <w:ilvl w:val="0"/>
          <w:numId w:val="3"/>
        </w:numPr>
        <w:tabs>
          <w:tab w:val="left" w:pos="663"/>
          <w:tab w:val="left" w:pos="884"/>
        </w:tabs>
        <w:spacing w:line="360" w:lineRule="auto"/>
        <w:ind w:left="442"/>
        <w:rPr>
          <w:rFonts w:ascii="宋体" w:hAnsi="宋体"/>
          <w:b/>
        </w:rPr>
      </w:pPr>
      <w:r>
        <w:rPr>
          <w:rFonts w:hint="eastAsia" w:ascii="宋体" w:hAnsi="宋体"/>
          <w:b/>
        </w:rPr>
        <w:t>试验、维护项目</w:t>
      </w:r>
    </w:p>
    <w:p>
      <w:pPr>
        <w:tabs>
          <w:tab w:val="left" w:pos="663"/>
          <w:tab w:val="left" w:pos="884"/>
        </w:tabs>
        <w:spacing w:line="360" w:lineRule="auto"/>
        <w:rPr>
          <w:rFonts w:ascii="宋体" w:hAnsi="宋体"/>
          <w:b/>
        </w:rPr>
      </w:pPr>
      <w:r>
        <w:rPr>
          <w:rFonts w:hint="eastAsia" w:ascii="宋体" w:hAnsi="宋体"/>
          <w:b/>
        </w:rPr>
        <w:t xml:space="preserve">       2.1试验服务项目：</w:t>
      </w:r>
    </w:p>
    <w:p>
      <w:pPr>
        <w:tabs>
          <w:tab w:val="left" w:pos="663"/>
          <w:tab w:val="left" w:pos="884"/>
        </w:tabs>
        <w:spacing w:line="360" w:lineRule="auto"/>
        <w:rPr>
          <w:rFonts w:ascii="宋体" w:hAnsi="宋体"/>
          <w:b/>
        </w:rPr>
      </w:pPr>
      <w:r>
        <w:rPr>
          <w:rFonts w:hint="eastAsia" w:ascii="宋体" w:hAnsi="宋体"/>
          <w:b/>
        </w:rPr>
        <w:t xml:space="preserve">       </w:t>
      </w:r>
      <w:r>
        <w:rPr>
          <w:rFonts w:hint="eastAsia" w:ascii="宋体" w:hAnsi="宋体"/>
          <w:bCs/>
        </w:rPr>
        <w:t>2.1.1试验方式：</w:t>
      </w:r>
    </w:p>
    <w:p>
      <w:pPr>
        <w:spacing w:line="360" w:lineRule="auto"/>
        <w:ind w:left="420" w:leftChars="200" w:firstLine="417" w:firstLineChars="199"/>
        <w:rPr>
          <w:rFonts w:ascii="宋体" w:hAnsi="宋体"/>
        </w:rPr>
      </w:pPr>
      <w:r>
        <w:rPr>
          <w:rFonts w:hint="eastAsia" w:ascii="宋体" w:hAnsi="宋体"/>
        </w:rPr>
        <w:t>在合同签订后壹年内乙方对甲方的电气设备进行一次试验工作，乙方按约定时间准时到达地点,乙方工作人员按本协议的服务内容采用现场停电工作的方式进行。</w:t>
      </w:r>
    </w:p>
    <w:p>
      <w:pPr>
        <w:spacing w:line="360" w:lineRule="auto"/>
        <w:ind w:firstLine="823" w:firstLineChars="392"/>
        <w:rPr>
          <w:rFonts w:ascii="宋体" w:hAnsi="宋体"/>
        </w:rPr>
      </w:pPr>
      <w:r>
        <w:rPr>
          <w:rFonts w:hint="eastAsia" w:ascii="宋体" w:hAnsi="宋体"/>
        </w:rPr>
        <w:t>2.1.2试验内容</w:t>
      </w:r>
    </w:p>
    <w:p>
      <w:pPr>
        <w:spacing w:line="360" w:lineRule="auto"/>
        <w:ind w:firstLine="823" w:firstLineChars="392"/>
        <w:rPr>
          <w:rFonts w:ascii="宋体" w:hAnsi="宋体"/>
        </w:rPr>
      </w:pPr>
      <w:r>
        <w:rPr>
          <w:rFonts w:hint="eastAsia" w:ascii="宋体" w:hAnsi="宋体"/>
        </w:rPr>
        <w:t>2.1.2.1</w:t>
      </w:r>
      <w:r>
        <w:rPr>
          <w:rFonts w:hint="eastAsia"/>
        </w:rPr>
        <w:t>客户产权电气设备预防性试验服务</w:t>
      </w:r>
      <w:r>
        <w:rPr>
          <w:rFonts w:hint="eastAsia" w:ascii="宋体" w:hAnsi="宋体"/>
        </w:rPr>
        <w:t>内容：详见本协议附件一</w:t>
      </w:r>
    </w:p>
    <w:p>
      <w:pPr>
        <w:tabs>
          <w:tab w:val="left" w:pos="663"/>
          <w:tab w:val="left" w:pos="884"/>
        </w:tabs>
        <w:spacing w:line="360" w:lineRule="auto"/>
        <w:rPr>
          <w:rFonts w:ascii="宋体" w:hAnsi="宋体"/>
          <w:b/>
        </w:rPr>
      </w:pPr>
      <w:r>
        <w:rPr>
          <w:rFonts w:hint="eastAsia" w:ascii="宋体" w:hAnsi="宋体"/>
          <w:b/>
        </w:rPr>
        <w:t xml:space="preserve">        2.2维护服务项目：</w:t>
      </w:r>
    </w:p>
    <w:p>
      <w:pPr>
        <w:spacing w:line="360" w:lineRule="auto"/>
        <w:ind w:firstLine="823" w:firstLineChars="392"/>
        <w:rPr>
          <w:rFonts w:ascii="宋体" w:hAnsi="宋体"/>
        </w:rPr>
      </w:pPr>
      <w:r>
        <w:rPr>
          <w:rFonts w:hint="eastAsia" w:ascii="宋体" w:hAnsi="宋体"/>
        </w:rPr>
        <w:t>2.2.1停电定检项目（详见本协议附件二）</w:t>
      </w:r>
    </w:p>
    <w:p>
      <w:pPr>
        <w:spacing w:line="360" w:lineRule="auto"/>
        <w:ind w:firstLine="823" w:firstLineChars="392"/>
        <w:rPr>
          <w:rFonts w:ascii="宋体" w:hAnsi="宋体"/>
        </w:rPr>
      </w:pPr>
      <w:r>
        <w:rPr>
          <w:rFonts w:hint="eastAsia" w:ascii="宋体" w:hAnsi="宋体"/>
        </w:rPr>
        <w:t>2.2.1.1年度变压器停电定检服务，定检服务周期为每年一次。</w:t>
      </w:r>
    </w:p>
    <w:p>
      <w:pPr>
        <w:spacing w:line="360" w:lineRule="auto"/>
        <w:ind w:firstLine="823" w:firstLineChars="392"/>
        <w:rPr>
          <w:rFonts w:ascii="宋体" w:hAnsi="宋体"/>
        </w:rPr>
      </w:pPr>
      <w:r>
        <w:rPr>
          <w:rFonts w:hint="eastAsia" w:ascii="宋体" w:hAnsi="宋体"/>
        </w:rPr>
        <w:t>2.2.1.2取油浸式变压器油化验，周期为三年一次（第一次参加维护时当年取油进行化验）。</w:t>
      </w:r>
    </w:p>
    <w:p>
      <w:pPr>
        <w:spacing w:line="360" w:lineRule="auto"/>
        <w:ind w:firstLine="823" w:firstLineChars="392"/>
        <w:rPr>
          <w:rFonts w:ascii="宋体" w:hAnsi="宋体"/>
        </w:rPr>
      </w:pPr>
      <w:r>
        <w:rPr>
          <w:rFonts w:hint="eastAsia" w:ascii="宋体" w:hAnsi="宋体"/>
        </w:rPr>
        <w:t>2.2.1.3对委托维护的高压盘柜及柜内一二次设备进行检查。</w:t>
      </w:r>
    </w:p>
    <w:p>
      <w:pPr>
        <w:spacing w:line="360" w:lineRule="auto"/>
        <w:ind w:firstLine="823" w:firstLineChars="392"/>
        <w:rPr>
          <w:rFonts w:ascii="宋体" w:hAnsi="宋体"/>
        </w:rPr>
      </w:pPr>
      <w:r>
        <w:rPr>
          <w:rFonts w:hint="eastAsia" w:ascii="宋体" w:hAnsi="宋体"/>
        </w:rPr>
        <w:t>2.2.1.4对委托维护的低压盘柜及柜内一二次设备进行检查。</w:t>
      </w:r>
    </w:p>
    <w:p>
      <w:pPr>
        <w:spacing w:line="360" w:lineRule="auto"/>
        <w:ind w:firstLine="823" w:firstLineChars="392"/>
        <w:rPr>
          <w:rFonts w:ascii="宋体" w:hAnsi="宋体"/>
        </w:rPr>
      </w:pPr>
      <w:r>
        <w:rPr>
          <w:rFonts w:hint="eastAsia" w:ascii="宋体" w:hAnsi="宋体"/>
        </w:rPr>
        <w:t>2.2.1.5对配电房内或户外电气设备周边环境进行清理。</w:t>
      </w:r>
    </w:p>
    <w:p>
      <w:pPr>
        <w:spacing w:line="360" w:lineRule="auto"/>
        <w:ind w:firstLine="823" w:firstLineChars="392"/>
        <w:rPr>
          <w:rFonts w:ascii="宋体" w:hAnsi="宋体"/>
        </w:rPr>
      </w:pPr>
      <w:r>
        <w:rPr>
          <w:rFonts w:hint="eastAsia" w:ascii="宋体" w:hAnsi="宋体"/>
        </w:rPr>
        <w:t>2.2.2不停电巡检项目（详见本协议附件二）</w:t>
      </w:r>
    </w:p>
    <w:p>
      <w:pPr>
        <w:tabs>
          <w:tab w:val="left" w:pos="884"/>
        </w:tabs>
        <w:spacing w:line="360" w:lineRule="auto"/>
        <w:ind w:firstLine="823" w:firstLineChars="392"/>
        <w:rPr>
          <w:rFonts w:ascii="宋体" w:hAnsi="宋体"/>
        </w:rPr>
      </w:pPr>
      <w:r>
        <w:rPr>
          <w:rFonts w:hint="eastAsia" w:ascii="宋体" w:hAnsi="宋体"/>
        </w:rPr>
        <w:t>2.2.2.1对变压器高、低压部分进行巡视，巡检次数根据甲方需求确定。</w:t>
      </w:r>
    </w:p>
    <w:p>
      <w:pPr>
        <w:spacing w:line="360" w:lineRule="auto"/>
        <w:ind w:firstLine="823" w:firstLineChars="392"/>
        <w:rPr>
          <w:rFonts w:ascii="宋体" w:hAnsi="宋体"/>
        </w:rPr>
      </w:pPr>
      <w:r>
        <w:rPr>
          <w:rFonts w:hint="eastAsia" w:ascii="宋体" w:hAnsi="宋体"/>
        </w:rPr>
        <w:t>2.2.2.2对委托维护的高压盘柜及柜内一二次设备进行巡视，巡检次数根据甲方需求确定。</w:t>
      </w:r>
    </w:p>
    <w:p>
      <w:pPr>
        <w:spacing w:line="360" w:lineRule="auto"/>
        <w:ind w:firstLine="823" w:firstLineChars="392"/>
        <w:rPr>
          <w:rFonts w:ascii="宋体" w:hAnsi="宋体"/>
        </w:rPr>
      </w:pPr>
      <w:r>
        <w:rPr>
          <w:rFonts w:hint="eastAsia" w:ascii="宋体" w:hAnsi="宋体"/>
        </w:rPr>
        <w:t>2.2.2.3对委托维护的低压盘柜及柜内一二次设备进行巡视，巡检次数根据甲方需求确定。</w:t>
      </w:r>
    </w:p>
    <w:p>
      <w:pPr>
        <w:spacing w:line="360" w:lineRule="auto"/>
        <w:ind w:left="420" w:leftChars="200" w:firstLine="394" w:firstLineChars="188"/>
        <w:rPr>
          <w:rFonts w:ascii="宋体" w:hAnsi="宋体"/>
        </w:rPr>
      </w:pPr>
      <w:r>
        <w:rPr>
          <w:rFonts w:hint="eastAsia" w:ascii="宋体" w:hAnsi="宋体"/>
        </w:rPr>
        <w:t>2.2.2.4对配电房内或户外电气设备及周边环境进行维护，要求符合高、低压电气设备运行环境要求。</w:t>
      </w:r>
    </w:p>
    <w:p>
      <w:pPr>
        <w:tabs>
          <w:tab w:val="left" w:pos="663"/>
          <w:tab w:val="left" w:pos="884"/>
        </w:tabs>
        <w:spacing w:line="360" w:lineRule="auto"/>
        <w:ind w:left="442"/>
        <w:rPr>
          <w:rFonts w:ascii="宋体" w:hAnsi="宋体"/>
          <w:b/>
        </w:rPr>
      </w:pPr>
    </w:p>
    <w:p>
      <w:pPr>
        <w:tabs>
          <w:tab w:val="left" w:pos="663"/>
          <w:tab w:val="left" w:pos="884"/>
        </w:tabs>
        <w:spacing w:line="360" w:lineRule="auto"/>
        <w:ind w:left="442"/>
        <w:rPr>
          <w:rFonts w:ascii="宋体" w:hAnsi="宋体"/>
          <w:b/>
        </w:rPr>
      </w:pPr>
      <w:r>
        <w:rPr>
          <w:rFonts w:hint="eastAsia" w:ascii="宋体" w:hAnsi="宋体"/>
          <w:b/>
        </w:rPr>
        <w:t>三.试验日期及维护期限</w:t>
      </w:r>
    </w:p>
    <w:p>
      <w:pPr>
        <w:spacing w:line="360" w:lineRule="auto"/>
        <w:ind w:left="399" w:leftChars="190" w:firstLine="411" w:firstLineChars="196"/>
        <w:rPr>
          <w:rFonts w:ascii="宋体" w:hAnsi="宋体"/>
        </w:rPr>
      </w:pPr>
      <w:r>
        <w:rPr>
          <w:rFonts w:hint="eastAsia" w:ascii="宋体" w:hAnsi="宋体"/>
        </w:rPr>
        <w:t>3.1经双方协商定于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u w:val="single"/>
        </w:rPr>
        <w:t xml:space="preserve">       </w:t>
      </w:r>
      <w:r>
        <w:rPr>
          <w:rFonts w:hint="eastAsia" w:ascii="宋体" w:hAnsi="宋体"/>
        </w:rPr>
        <w:t>时</w:t>
      </w:r>
      <w:r>
        <w:rPr>
          <w:rFonts w:hint="eastAsia" w:ascii="宋体" w:hAnsi="宋体"/>
          <w:u w:val="single"/>
        </w:rPr>
        <w:t xml:space="preserve">     </w:t>
      </w:r>
      <w:r>
        <w:rPr>
          <w:rFonts w:hint="eastAsia" w:ascii="宋体" w:hAnsi="宋体"/>
        </w:rPr>
        <w:t>分进行试验工作。</w:t>
      </w:r>
    </w:p>
    <w:p>
      <w:pPr>
        <w:spacing w:line="360" w:lineRule="auto"/>
        <w:ind w:left="420" w:leftChars="200" w:firstLine="411" w:firstLineChars="196"/>
        <w:rPr>
          <w:rFonts w:ascii="宋体" w:hAnsi="宋体"/>
        </w:rPr>
      </w:pPr>
      <w:r>
        <w:rPr>
          <w:rFonts w:hint="eastAsia" w:ascii="宋体" w:hAnsi="宋体"/>
        </w:rPr>
        <w:t>3.2经双方协商维护期由</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日止，共</w:t>
      </w:r>
      <w:r>
        <w:rPr>
          <w:rFonts w:hint="eastAsia" w:ascii="宋体" w:hAnsi="宋体"/>
          <w:u w:val="single"/>
        </w:rPr>
        <w:t>12</w:t>
      </w:r>
      <w:r>
        <w:rPr>
          <w:rFonts w:hint="eastAsia" w:ascii="宋体" w:hAnsi="宋体"/>
        </w:rPr>
        <w:t>个月。</w:t>
      </w:r>
    </w:p>
    <w:p>
      <w:pPr>
        <w:tabs>
          <w:tab w:val="left" w:pos="663"/>
          <w:tab w:val="left" w:pos="884"/>
        </w:tabs>
        <w:spacing w:line="360" w:lineRule="auto"/>
        <w:ind w:left="442"/>
        <w:rPr>
          <w:rFonts w:ascii="宋体" w:hAnsi="宋体"/>
          <w:b/>
        </w:rPr>
      </w:pPr>
      <w:r>
        <w:rPr>
          <w:rFonts w:hint="eastAsia" w:ascii="宋体" w:hAnsi="宋体"/>
          <w:b/>
        </w:rPr>
        <w:t>四.协议金额及付款方式</w:t>
      </w:r>
      <w:bookmarkStart w:id="68" w:name="_Hlt261331944"/>
      <w:bookmarkEnd w:id="68"/>
      <w:bookmarkStart w:id="69" w:name="_Hlt261331945"/>
      <w:bookmarkEnd w:id="69"/>
    </w:p>
    <w:p>
      <w:pPr>
        <w:spacing w:line="360" w:lineRule="auto"/>
        <w:ind w:left="420" w:leftChars="200" w:firstLine="394" w:firstLineChars="188"/>
        <w:rPr>
          <w:rFonts w:ascii="宋体" w:hAnsi="宋体"/>
        </w:rPr>
      </w:pPr>
      <w:r>
        <w:rPr>
          <w:rFonts w:hint="eastAsia" w:ascii="宋体" w:hAnsi="宋体"/>
        </w:rPr>
        <w:t>4.1协议金额</w:t>
      </w:r>
    </w:p>
    <w:p>
      <w:pPr>
        <w:tabs>
          <w:tab w:val="left" w:pos="6851"/>
        </w:tabs>
        <w:spacing w:line="360" w:lineRule="auto"/>
        <w:ind w:left="420" w:leftChars="200" w:firstLine="382" w:firstLineChars="182"/>
        <w:rPr>
          <w:rFonts w:ascii="宋体" w:hAnsi="宋体"/>
          <w:b w:val="0"/>
          <w:bCs w:val="0"/>
          <w:i w:val="0"/>
          <w:iCs w:val="0"/>
          <w:color w:val="000000" w:themeColor="text1"/>
          <w:u w:val="single"/>
          <w14:textFill>
            <w14:solidFill>
              <w14:schemeClr w14:val="tx1"/>
            </w14:solidFill>
          </w14:textFill>
        </w:rPr>
      </w:pPr>
      <w:r>
        <w:rPr>
          <w:rFonts w:hint="eastAsia" w:ascii="宋体" w:hAnsi="宋体"/>
          <w:b w:val="0"/>
          <w:bCs w:val="0"/>
          <w:i w:val="0"/>
          <w:iCs w:val="0"/>
          <w:color w:val="000000" w:themeColor="text1"/>
          <w:u w:val="single"/>
          <w14:textFill>
            <w14:solidFill>
              <w14:schemeClr w14:val="tx1"/>
            </w14:solidFill>
          </w14:textFill>
        </w:rPr>
        <w:t>4.1.1本协议试验维护含税总金额</w:t>
      </w:r>
      <w:r>
        <w:rPr>
          <w:rFonts w:hint="eastAsia" w:ascii="黑体" w:hAnsi="黑体" w:eastAsia="黑体" w:cs="黑体"/>
          <w:b w:val="0"/>
          <w:bCs w:val="0"/>
          <w:i w:val="0"/>
          <w:iCs w:val="0"/>
          <w:color w:val="000000" w:themeColor="text1"/>
          <w:u w:val="single"/>
          <w:shd w:val="clear" w:color="auto" w:fill="FFFFFF"/>
          <w14:textFill>
            <w14:solidFill>
              <w14:schemeClr w14:val="tx1"/>
            </w14:solidFill>
          </w14:textFill>
        </w:rPr>
        <w:t>¥</w:t>
      </w:r>
      <w:r>
        <w:rPr>
          <w:rFonts w:hint="eastAsia" w:ascii="宋体" w:hAnsi="宋体"/>
          <w:b w:val="0"/>
          <w:bCs w:val="0"/>
          <w:i w:val="0"/>
          <w:iCs w:val="0"/>
          <w:color w:val="000000" w:themeColor="text1"/>
          <w:u w:val="single"/>
          <w14:textFill>
            <w14:solidFill>
              <w14:schemeClr w14:val="tx1"/>
            </w14:solidFill>
          </w14:textFill>
        </w:rPr>
        <w:t xml:space="preserve">             （大写                ），</w:t>
      </w:r>
    </w:p>
    <w:p>
      <w:pPr>
        <w:spacing w:line="360" w:lineRule="auto"/>
        <w:ind w:left="420" w:leftChars="200" w:firstLine="420" w:firstLineChars="200"/>
        <w:rPr>
          <w:rFonts w:ascii="宋体" w:hAnsi="宋体"/>
          <w:b w:val="0"/>
          <w:bCs w:val="0"/>
          <w:i w:val="0"/>
          <w:iCs w:val="0"/>
          <w:color w:val="000000" w:themeColor="text1"/>
          <w:u w:val="single"/>
          <w14:textFill>
            <w14:solidFill>
              <w14:schemeClr w14:val="tx1"/>
            </w14:solidFill>
          </w14:textFill>
        </w:rPr>
      </w:pPr>
      <w:r>
        <w:rPr>
          <w:rFonts w:hint="eastAsia" w:ascii="宋体" w:hAnsi="宋体" w:cs="宋体"/>
          <w:b w:val="0"/>
          <w:bCs w:val="0"/>
          <w:i w:val="0"/>
          <w:iCs w:val="0"/>
          <w:color w:val="000000" w:themeColor="text1"/>
          <w:u w:val="single"/>
          <w14:textFill>
            <w14:solidFill>
              <w14:schemeClr w14:val="tx1"/>
            </w14:solidFill>
          </w14:textFill>
        </w:rPr>
        <w:t>其中：试验服务含税金额</w:t>
      </w:r>
      <w:r>
        <w:rPr>
          <w:rFonts w:hint="eastAsia" w:ascii="黑体" w:hAnsi="黑体" w:eastAsia="黑体" w:cs="黑体"/>
          <w:b w:val="0"/>
          <w:bCs w:val="0"/>
          <w:i w:val="0"/>
          <w:iCs w:val="0"/>
          <w:color w:val="000000" w:themeColor="text1"/>
          <w:u w:val="single"/>
          <w:shd w:val="clear" w:color="auto" w:fill="FFFFFF"/>
          <w14:textFill>
            <w14:solidFill>
              <w14:schemeClr w14:val="tx1"/>
            </w14:solidFill>
          </w14:textFill>
        </w:rPr>
        <w:t>¥</w:t>
      </w:r>
      <w:r>
        <w:rPr>
          <w:rFonts w:hint="eastAsia" w:ascii="宋体" w:hAnsi="宋体"/>
          <w:b w:val="0"/>
          <w:bCs w:val="0"/>
          <w:i w:val="0"/>
          <w:iCs w:val="0"/>
          <w:color w:val="000000" w:themeColor="text1"/>
          <w:u w:val="single"/>
          <w14:textFill>
            <w14:solidFill>
              <w14:schemeClr w14:val="tx1"/>
            </w14:solidFill>
          </w14:textFill>
        </w:rPr>
        <w:t xml:space="preserve">         （大写         元整）；</w:t>
      </w:r>
      <w:r>
        <w:rPr>
          <w:rFonts w:hint="eastAsia" w:ascii="宋体" w:hAnsi="宋体" w:cs="宋体"/>
          <w:b w:val="0"/>
          <w:bCs w:val="0"/>
          <w:i w:val="0"/>
          <w:iCs w:val="0"/>
          <w:color w:val="000000" w:themeColor="text1"/>
          <w:u w:val="single"/>
          <w14:textFill>
            <w14:solidFill>
              <w14:schemeClr w14:val="tx1"/>
            </w14:solidFill>
          </w14:textFill>
        </w:rPr>
        <w:t>维护服务含税金额</w:t>
      </w:r>
      <w:r>
        <w:rPr>
          <w:rFonts w:hint="eastAsia" w:ascii="黑体" w:hAnsi="黑体" w:eastAsia="黑体" w:cs="黑体"/>
          <w:b w:val="0"/>
          <w:bCs w:val="0"/>
          <w:i w:val="0"/>
          <w:iCs w:val="0"/>
          <w:color w:val="000000" w:themeColor="text1"/>
          <w:u w:val="single"/>
          <w:shd w:val="clear" w:color="auto" w:fill="FFFFFF"/>
          <w14:textFill>
            <w14:solidFill>
              <w14:schemeClr w14:val="tx1"/>
            </w14:solidFill>
          </w14:textFill>
        </w:rPr>
        <w:t xml:space="preserve">¥      </w:t>
      </w:r>
      <w:r>
        <w:rPr>
          <w:rFonts w:hint="eastAsia" w:ascii="宋体" w:hAnsi="宋体"/>
          <w:b w:val="0"/>
          <w:bCs w:val="0"/>
          <w:i w:val="0"/>
          <w:iCs w:val="0"/>
          <w:color w:val="000000" w:themeColor="text1"/>
          <w:u w:val="single"/>
          <w14:textFill>
            <w14:solidFill>
              <w14:schemeClr w14:val="tx1"/>
            </w14:solidFill>
          </w14:textFill>
        </w:rPr>
        <w:t>（大写          元整）。</w:t>
      </w:r>
    </w:p>
    <w:p>
      <w:pPr>
        <w:spacing w:line="360" w:lineRule="auto"/>
        <w:ind w:left="420" w:leftChars="200" w:firstLine="420" w:firstLineChars="200"/>
        <w:rPr>
          <w:rFonts w:ascii="宋体" w:hAnsi="宋体"/>
        </w:rPr>
      </w:pPr>
      <w:r>
        <w:rPr>
          <w:rFonts w:hint="eastAsia" w:ascii="宋体" w:hAnsi="宋体" w:cs="宋体"/>
        </w:rPr>
        <w:t>（收费标准详见本协议附件三、收费清单详见本协议附件四）</w:t>
      </w:r>
    </w:p>
    <w:p>
      <w:pPr>
        <w:spacing w:line="360" w:lineRule="auto"/>
        <w:ind w:firstLine="835" w:firstLineChars="398"/>
        <w:rPr>
          <w:color w:val="FF0000"/>
          <w:sz w:val="24"/>
        </w:rPr>
      </w:pPr>
      <w:r>
        <w:rPr>
          <w:rFonts w:hint="eastAsia" w:ascii="宋体" w:hAnsi="宋体"/>
        </w:rPr>
        <w:t>4.2付款方式</w:t>
      </w:r>
    </w:p>
    <w:p>
      <w:pPr>
        <w:pStyle w:val="2"/>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合同维修维护费用分</w:t>
      </w:r>
      <w:r>
        <w:rPr>
          <w:rFonts w:hint="eastAsia" w:asciiTheme="minorEastAsia" w:hAnsiTheme="minorEastAsia" w:eastAsiaTheme="minorEastAsia" w:cstheme="minorEastAsia"/>
          <w:color w:val="auto"/>
          <w:sz w:val="24"/>
          <w:szCs w:val="24"/>
          <w:lang w:val="en-US" w:eastAsia="zh-CN"/>
        </w:rPr>
        <w:t>两</w:t>
      </w:r>
      <w:r>
        <w:rPr>
          <w:rFonts w:hint="eastAsia" w:asciiTheme="minorEastAsia" w:hAnsiTheme="minorEastAsia" w:eastAsiaTheme="minorEastAsia" w:cstheme="minorEastAsia"/>
          <w:color w:val="auto"/>
          <w:sz w:val="24"/>
          <w:szCs w:val="24"/>
        </w:rPr>
        <w:t>期支付：</w:t>
      </w:r>
    </w:p>
    <w:p>
      <w:pPr>
        <w:pStyle w:val="2"/>
        <w:ind w:firstLine="24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 xml:space="preserve">  第一期：合同签订后15个工作日内，乙方将发票交甲方向市财政局提交用款申请批复后向乙方支付合同款的50%。鉴于本合同款项系使用财政资金支付，甲方在验收合格后向财政部门申请付款，既视为甲方已履行支付义务，具体付款时间以财政部门批复并支付为准；</w:t>
      </w:r>
    </w:p>
    <w:p>
      <w:pPr>
        <w:pStyle w:val="2"/>
        <w:ind w:firstLine="2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第二期：合同签订后第十二个月内，乙方将发票交甲方向市财政局提交用款申请批复后向乙方支付剩余合同款。鉴于本合同款项系使用财政资金支付，甲方在验收合格后向财政部门申请付款，既视为甲方已履行支付义务，具体付款时间以财政部门批复并支付为准。</w:t>
      </w:r>
    </w:p>
    <w:p>
      <w:pPr>
        <w:spacing w:line="360" w:lineRule="auto"/>
        <w:ind w:left="420" w:leftChars="200" w:firstLine="394" w:firstLineChars="188"/>
        <w:rPr>
          <w:rFonts w:ascii="宋体" w:hAnsi="宋体"/>
        </w:rPr>
      </w:pPr>
      <w:r>
        <w:rPr>
          <w:rFonts w:hint="eastAsia" w:ascii="宋体" w:hAnsi="宋体"/>
        </w:rPr>
        <w:t xml:space="preserve">付款方式为对公银行转账支付，乙方银行转账号如下： </w:t>
      </w:r>
    </w:p>
    <w:p>
      <w:pPr>
        <w:tabs>
          <w:tab w:val="left" w:pos="884"/>
        </w:tabs>
        <w:spacing w:line="360" w:lineRule="auto"/>
        <w:ind w:left="442" w:firstLine="420" w:firstLineChars="200"/>
        <w:rPr>
          <w:rFonts w:ascii="宋体" w:hAnsi="宋体"/>
        </w:rPr>
      </w:pPr>
      <w:r>
        <w:rPr>
          <w:rFonts w:hint="eastAsia" w:ascii="宋体" w:hAnsi="宋体"/>
        </w:rPr>
        <w:t xml:space="preserve">  户名：</w:t>
      </w:r>
    </w:p>
    <w:p>
      <w:pPr>
        <w:tabs>
          <w:tab w:val="left" w:pos="884"/>
        </w:tabs>
        <w:spacing w:line="360" w:lineRule="auto"/>
        <w:ind w:left="442" w:firstLine="420" w:firstLineChars="200"/>
        <w:rPr>
          <w:rFonts w:ascii="宋体" w:hAnsi="宋体"/>
        </w:rPr>
      </w:pPr>
      <w:r>
        <w:rPr>
          <w:rFonts w:hint="eastAsia" w:ascii="宋体" w:hAnsi="宋体"/>
        </w:rPr>
        <w:t xml:space="preserve">  帐号：</w:t>
      </w:r>
    </w:p>
    <w:p>
      <w:pPr>
        <w:tabs>
          <w:tab w:val="left" w:pos="884"/>
        </w:tabs>
        <w:spacing w:line="360" w:lineRule="auto"/>
        <w:ind w:left="442" w:firstLine="630" w:firstLineChars="300"/>
        <w:rPr>
          <w:rFonts w:ascii="宋体" w:hAnsi="宋体"/>
        </w:rPr>
      </w:pPr>
      <w:r>
        <w:rPr>
          <w:rFonts w:hint="eastAsia" w:ascii="宋体" w:hAnsi="宋体"/>
        </w:rPr>
        <w:t>开户行：</w:t>
      </w:r>
    </w:p>
    <w:p>
      <w:pPr>
        <w:tabs>
          <w:tab w:val="left" w:pos="884"/>
        </w:tabs>
        <w:spacing w:line="360" w:lineRule="auto"/>
        <w:ind w:firstLine="422" w:firstLineChars="200"/>
        <w:rPr>
          <w:b/>
        </w:rPr>
      </w:pPr>
      <w:r>
        <w:rPr>
          <w:rFonts w:hint="eastAsia" w:ascii="宋体" w:hAnsi="宋体"/>
          <w:b/>
        </w:rPr>
        <w:t>五.技术资料</w:t>
      </w:r>
    </w:p>
    <w:p>
      <w:pPr>
        <w:spacing w:line="440" w:lineRule="exact"/>
        <w:ind w:left="420" w:leftChars="200" w:firstLine="392" w:firstLineChars="187"/>
        <w:rPr>
          <w:rFonts w:ascii="宋体" w:hAnsi="宋体"/>
        </w:rPr>
      </w:pPr>
      <w:r>
        <w:rPr>
          <w:rFonts w:hint="eastAsia" w:ascii="宋体" w:hAnsi="宋体"/>
        </w:rPr>
        <w:t>5.1</w:t>
      </w:r>
      <w:r>
        <w:rPr>
          <w:rFonts w:hint="eastAsia" w:ascii="宋体" w:hAnsi="宋体"/>
          <w:color w:val="000000" w:themeColor="text1"/>
          <w14:textFill>
            <w14:solidFill>
              <w14:schemeClr w14:val="tx1"/>
            </w14:solidFill>
          </w14:textFill>
        </w:rPr>
        <w:t>工期之前</w:t>
      </w:r>
      <w:r>
        <w:rPr>
          <w:rFonts w:hint="eastAsia" w:ascii="宋体" w:hAnsi="宋体"/>
        </w:rPr>
        <w:t>，甲方向乙方提供与南宁供电局签订的供用电合同的复印件、电气设备安装竣工资料复印件（电气设备竣工图纸、电气设备厂家图纸、电气设备出厂试验报告、电气设备交接试验报告）等相关资料，以明确甲方所属产权部分电气设备，必要时供乙方存档备查。</w:t>
      </w:r>
    </w:p>
    <w:p>
      <w:pPr>
        <w:spacing w:line="440" w:lineRule="exact"/>
        <w:ind w:left="420" w:leftChars="200" w:firstLine="392" w:firstLineChars="187"/>
        <w:rPr>
          <w:rFonts w:ascii="宋体" w:hAnsi="宋体"/>
        </w:rPr>
      </w:pPr>
      <w:r>
        <w:rPr>
          <w:rFonts w:hint="eastAsia" w:ascii="宋体" w:hAnsi="宋体"/>
        </w:rPr>
        <w:t>5.2乙方根据甲方提供的相关资料核对现场，并对现场甲方电气设备所属供电线路名称、用电户号、接火杆号、甲方产权部分配电房地理位置等相关情况进行记录存档。</w:t>
      </w:r>
    </w:p>
    <w:p>
      <w:pPr>
        <w:spacing w:line="440" w:lineRule="exact"/>
        <w:ind w:left="420" w:leftChars="200" w:firstLine="392" w:firstLineChars="187"/>
        <w:rPr>
          <w:rFonts w:ascii="宋体" w:hAnsi="宋体"/>
        </w:rPr>
      </w:pPr>
      <w:r>
        <w:rPr>
          <w:rFonts w:hint="eastAsia" w:ascii="宋体" w:hAnsi="宋体"/>
        </w:rPr>
        <w:t>5.3试验结束后10个工作日内，乙方向甲方出具准确、完整、有效的试验报告壹份；维护期满后，乙方向甲方提供甲方所属产权设备年度维护报告壹份。</w:t>
      </w:r>
    </w:p>
    <w:p>
      <w:pPr>
        <w:spacing w:line="440" w:lineRule="exact"/>
        <w:ind w:left="420" w:leftChars="200" w:firstLine="392" w:firstLineChars="187"/>
        <w:rPr>
          <w:rFonts w:ascii="宋体" w:hAnsi="宋体"/>
        </w:rPr>
      </w:pPr>
      <w:r>
        <w:rPr>
          <w:rFonts w:hint="eastAsia" w:ascii="宋体" w:hAnsi="宋体"/>
        </w:rPr>
        <w:t>5.4乙方将甲方电气设备的试验报告、维护记录、抢修工单做好存档备查。</w:t>
      </w:r>
    </w:p>
    <w:p>
      <w:pPr>
        <w:numPr>
          <w:ilvl w:val="0"/>
          <w:numId w:val="4"/>
        </w:numPr>
        <w:tabs>
          <w:tab w:val="left" w:pos="884"/>
        </w:tabs>
        <w:spacing w:line="360" w:lineRule="auto"/>
        <w:ind w:left="258" w:leftChars="123" w:firstLine="103" w:firstLineChars="49"/>
        <w:rPr>
          <w:rFonts w:ascii="宋体" w:hAnsi="宋体"/>
          <w:color w:val="00B050"/>
        </w:rPr>
      </w:pPr>
      <w:r>
        <w:rPr>
          <w:rFonts w:hint="eastAsia" w:ascii="宋体" w:hAnsi="宋体"/>
          <w:b/>
        </w:rPr>
        <w:t>双方共识</w:t>
      </w:r>
      <w:r>
        <w:rPr>
          <w:rFonts w:hint="eastAsia" w:ascii="宋体" w:hAnsi="宋体"/>
          <w:b/>
        </w:rPr>
        <w:cr/>
      </w:r>
      <w:r>
        <w:rPr>
          <w:rFonts w:hint="eastAsia" w:ascii="宋体" w:hAnsi="宋体"/>
          <w:b/>
        </w:rPr>
        <w:t xml:space="preserve">     </w:t>
      </w:r>
      <w:r>
        <w:rPr>
          <w:rFonts w:hint="eastAsia" w:ascii="宋体" w:hAnsi="宋体"/>
        </w:rPr>
        <w:t>6.1电气设备试验的目的是通过制定好项目与周期对电气设备进行巡视、检查，对发现的缺陷进行及时处理，达到发现并消除电气设备隐患、预防事故发生的目的。但并不表示参加了试验的设备绝对不发生事故，而是减少事故概率，延长设备使用寿命。</w:t>
      </w:r>
    </w:p>
    <w:p>
      <w:pPr>
        <w:spacing w:line="360" w:lineRule="auto"/>
        <w:ind w:left="420" w:leftChars="200" w:firstLine="103" w:firstLineChars="49"/>
        <w:rPr>
          <w:b/>
        </w:rPr>
      </w:pPr>
      <w:r>
        <w:rPr>
          <w:rFonts w:hint="eastAsia" w:ascii="宋体" w:hAnsi="宋体"/>
          <w:b/>
        </w:rPr>
        <w:t xml:space="preserve">七.甲、乙双方职责    </w:t>
      </w:r>
    </w:p>
    <w:p>
      <w:pPr>
        <w:spacing w:line="360" w:lineRule="auto"/>
        <w:ind w:firstLine="826" w:firstLineChars="392"/>
        <w:rPr>
          <w:rFonts w:ascii="宋体" w:hAnsi="宋体"/>
          <w:b/>
        </w:rPr>
      </w:pPr>
      <w:r>
        <w:rPr>
          <w:rFonts w:hint="eastAsia" w:ascii="宋体" w:hAnsi="宋体"/>
          <w:b/>
        </w:rPr>
        <w:t>7.1甲方职责：</w:t>
      </w:r>
    </w:p>
    <w:p>
      <w:pPr>
        <w:spacing w:line="360" w:lineRule="auto"/>
        <w:ind w:left="420" w:leftChars="200" w:firstLine="394" w:firstLineChars="188"/>
        <w:rPr>
          <w:rFonts w:ascii="宋体" w:hAnsi="宋体"/>
        </w:rPr>
      </w:pPr>
      <w:r>
        <w:rPr>
          <w:rFonts w:hint="eastAsia" w:ascii="宋体" w:hAnsi="宋体"/>
        </w:rPr>
        <w:t>7.1.1甲方需委派至少1名电气设备负责人配合乙方做好相关停电工作，并对乙方的工作进度、数据等进行监督。</w:t>
      </w:r>
    </w:p>
    <w:p>
      <w:pPr>
        <w:spacing w:line="360" w:lineRule="auto"/>
        <w:ind w:left="420" w:leftChars="200" w:firstLine="394" w:firstLineChars="188"/>
        <w:rPr>
          <w:rFonts w:ascii="宋体" w:hAnsi="宋体"/>
          <w:highlight w:val="yellow"/>
        </w:rPr>
      </w:pPr>
      <w:r>
        <w:rPr>
          <w:rFonts w:hint="eastAsia" w:ascii="宋体" w:hAnsi="宋体"/>
        </w:rPr>
        <w:t>7.1.2甲方应安排专业电气工作人员按要求对电气设备进行倒闸操作。若甲方需委托乙方对其电气设备进行倒闸操作，必须签订操作授权委托书（详见附件五）明确对乙方进行操作委托，同时甲方需委派至少一名电气设备负责人现场监护，</w:t>
      </w:r>
      <w:r>
        <w:rPr>
          <w:rFonts w:hint="eastAsia" w:hAnsi="宋体"/>
        </w:rPr>
        <w:t>在</w:t>
      </w:r>
      <w:r>
        <w:rPr>
          <w:rFonts w:hint="eastAsia" w:ascii="宋体" w:hAnsi="宋体"/>
        </w:rPr>
        <w:t>操作过程中由于设备老化或缺陷等非乙方操作不当的原因导致电气设备损坏的，责任由甲方承担。</w:t>
      </w:r>
    </w:p>
    <w:p>
      <w:pPr>
        <w:spacing w:line="360" w:lineRule="auto"/>
        <w:ind w:left="420" w:leftChars="200" w:firstLine="394" w:firstLineChars="188"/>
        <w:rPr>
          <w:rFonts w:ascii="宋体" w:hAnsi="宋体"/>
        </w:rPr>
      </w:pPr>
      <w:r>
        <w:rPr>
          <w:rFonts w:hint="eastAsia" w:ascii="宋体" w:hAnsi="宋体"/>
        </w:rPr>
        <w:t>7.1.3 停电进行试验及定检工作时甲方须得到乙方现场工作负责人的允许并做好安全措施后方可进入试验区域，擅自进入造成人身或设备安全事故的，责任由甲方承担。</w:t>
      </w:r>
    </w:p>
    <w:p>
      <w:pPr>
        <w:spacing w:line="360" w:lineRule="auto"/>
        <w:ind w:left="420" w:leftChars="200" w:firstLine="394" w:firstLineChars="188"/>
        <w:rPr>
          <w:rFonts w:ascii="宋体" w:hAnsi="宋体"/>
        </w:rPr>
      </w:pPr>
      <w:r>
        <w:rPr>
          <w:rFonts w:hint="eastAsia" w:ascii="宋体" w:hAnsi="宋体"/>
        </w:rPr>
        <w:t>7.1.4 甲方需及时对乙方提出的电气设备缺陷及不符电气设备安全运行要求的问题进行整改。（如高低压设备区的安全隔离及防小动物设施，危险警示牌，带电裸露部分的绝缘防护，设备老化残旧、周围环境及堆放杂物造成威胁电气设备安全等的安全隐患）。甲方对乙方提出的安全隐患不进行整改而导致用电安全事故，责任由甲方承担。</w:t>
      </w:r>
    </w:p>
    <w:p>
      <w:pPr>
        <w:spacing w:line="360" w:lineRule="auto"/>
        <w:ind w:left="420" w:leftChars="200" w:firstLine="394" w:firstLineChars="188"/>
        <w:rPr>
          <w:rFonts w:ascii="宋体" w:hAnsi="宋体"/>
        </w:rPr>
      </w:pPr>
      <w:r>
        <w:rPr>
          <w:rFonts w:hint="eastAsia" w:ascii="宋体" w:hAnsi="宋体"/>
        </w:rPr>
        <w:t>7.1.5电气设备缺陷整改涉及到外部线路停电配合时，配合乙方做好向供电局办理申请线路停电报告手续工作。</w:t>
      </w:r>
    </w:p>
    <w:p>
      <w:pPr>
        <w:spacing w:line="360" w:lineRule="auto"/>
        <w:ind w:left="420" w:leftChars="200" w:firstLine="394" w:firstLineChars="188"/>
        <w:rPr>
          <w:rFonts w:ascii="宋体" w:hAnsi="宋体"/>
        </w:rPr>
      </w:pPr>
      <w:r>
        <w:rPr>
          <w:rFonts w:hint="eastAsia" w:ascii="宋体" w:hAnsi="宋体"/>
        </w:rPr>
        <w:t>7.1.6发现电气设备突发性故障或安全隐患及时联系乙方，若甲方自行操作电气设备出现安全事故，责任由甲方承担。</w:t>
      </w:r>
    </w:p>
    <w:p>
      <w:pPr>
        <w:spacing w:line="360" w:lineRule="auto"/>
        <w:ind w:left="420" w:leftChars="200" w:firstLine="394" w:firstLineChars="188"/>
        <w:rPr>
          <w:rFonts w:ascii="宋体" w:hAnsi="宋体"/>
        </w:rPr>
      </w:pPr>
      <w:r>
        <w:rPr>
          <w:rFonts w:hint="eastAsia" w:ascii="宋体" w:hAnsi="宋体"/>
        </w:rPr>
        <w:t>7.1.7甲方严格按照电气设备使用说明书使用设备，确保创造良好运行环境，避免超负荷运行，否则导致的设备损坏由甲方负责。</w:t>
      </w:r>
    </w:p>
    <w:p>
      <w:pPr>
        <w:spacing w:line="360" w:lineRule="auto"/>
        <w:ind w:left="420" w:leftChars="200" w:firstLine="396" w:firstLineChars="188"/>
        <w:rPr>
          <w:rFonts w:ascii="宋体" w:hAnsi="宋体"/>
          <w:b/>
        </w:rPr>
      </w:pPr>
      <w:r>
        <w:rPr>
          <w:rFonts w:hint="eastAsia" w:ascii="宋体" w:hAnsi="宋体"/>
          <w:b/>
        </w:rPr>
        <w:t>7.2 乙方职责：</w:t>
      </w:r>
    </w:p>
    <w:p>
      <w:pPr>
        <w:spacing w:line="360" w:lineRule="auto"/>
        <w:ind w:left="420" w:leftChars="200" w:firstLine="394" w:firstLineChars="188"/>
        <w:rPr>
          <w:rFonts w:ascii="宋体" w:hAnsi="宋体"/>
        </w:rPr>
      </w:pPr>
      <w:r>
        <w:rPr>
          <w:rFonts w:hint="eastAsia" w:ascii="宋体" w:hAnsi="宋体"/>
        </w:rPr>
        <w:t>7.2.1乙方须严格执行国家能源局《DL/T 596-2021 电力设备预防性试验规程》、《DL/T995-2016继电保护和电网安全自动装置检验规程》及产品技术标准进行试验，试验结果仅对试验当时特定的试验环境下试品负责。</w:t>
      </w:r>
    </w:p>
    <w:p>
      <w:pPr>
        <w:spacing w:line="360" w:lineRule="auto"/>
        <w:ind w:left="420" w:leftChars="200" w:firstLine="394" w:firstLineChars="188"/>
        <w:rPr>
          <w:rFonts w:ascii="宋体" w:hAnsi="宋体"/>
        </w:rPr>
      </w:pPr>
      <w:r>
        <w:rPr>
          <w:rFonts w:hint="eastAsia" w:ascii="宋体" w:hAnsi="宋体"/>
        </w:rPr>
        <w:t>7.2.2乙方接受甲方委托对其电气设备进行倒闸操作，如乙方未按《操作规程》进行操作导致的电气设备损坏，责任由乙方承担。</w:t>
      </w:r>
    </w:p>
    <w:p>
      <w:pPr>
        <w:spacing w:line="360" w:lineRule="auto"/>
        <w:ind w:left="420" w:leftChars="200" w:firstLine="394" w:firstLineChars="188"/>
        <w:rPr>
          <w:rFonts w:ascii="宋体" w:hAnsi="宋体"/>
          <w:color w:val="000000"/>
        </w:rPr>
      </w:pPr>
      <w:r>
        <w:rPr>
          <w:rFonts w:hint="eastAsia" w:ascii="宋体" w:hAnsi="宋体"/>
          <w:color w:val="000000"/>
        </w:rPr>
        <w:t>7.2.3 乙方发现甲方电气设备存在安全运行隐患时，及时向甲方提出书面整改建议并督促处理。若乙方未对甲方电气设备存在的安全隐患提出整改建议而导致甲方设备故障及用电安全事故，责任由乙方承担造成甲方或第三方人身财产损失人，由乙方赔偿</w:t>
      </w:r>
      <w:r>
        <w:rPr>
          <w:rFonts w:hint="eastAsia" w:ascii="宋体" w:hAnsi="宋体"/>
        </w:rPr>
        <w:t>。</w:t>
      </w:r>
    </w:p>
    <w:p>
      <w:pPr>
        <w:spacing w:line="360" w:lineRule="auto"/>
        <w:ind w:left="420" w:leftChars="200" w:firstLine="394" w:firstLineChars="188"/>
        <w:rPr>
          <w:rFonts w:ascii="宋体" w:hAnsi="宋体"/>
        </w:rPr>
      </w:pPr>
      <w:r>
        <w:rPr>
          <w:rFonts w:hint="eastAsia" w:ascii="宋体" w:hAnsi="宋体"/>
        </w:rPr>
        <w:t>7.2.4 电气设备缺陷整改涉及到外部线路停电配合时，配合甲方做好向供电局办理申请线路停电报告手续工作。</w:t>
      </w:r>
    </w:p>
    <w:p>
      <w:pPr>
        <w:spacing w:line="360" w:lineRule="auto"/>
        <w:ind w:left="420" w:leftChars="200" w:firstLine="394" w:firstLineChars="188"/>
        <w:rPr>
          <w:rFonts w:ascii="宋体" w:hAnsi="宋体"/>
        </w:rPr>
      </w:pPr>
      <w:r>
        <w:rPr>
          <w:rFonts w:hint="eastAsia" w:ascii="宋体" w:hAnsi="宋体"/>
        </w:rPr>
        <w:t>7.2.5乙方建立24小时值班热线（0771-        ）及时处理甲方电气设备的报修，乙方接到报修电话后在抢修时限一个小时内到达事故现场（市区快环以内）。</w:t>
      </w:r>
    </w:p>
    <w:p>
      <w:pPr>
        <w:spacing w:line="360" w:lineRule="auto"/>
        <w:ind w:left="420" w:leftChars="200" w:firstLine="394" w:firstLineChars="188"/>
        <w:rPr>
          <w:rFonts w:ascii="宋体" w:hAnsi="宋体"/>
        </w:rPr>
      </w:pPr>
      <w:r>
        <w:rPr>
          <w:rFonts w:hint="eastAsia" w:ascii="宋体" w:hAnsi="宋体"/>
        </w:rPr>
        <w:t>7.2.6 乙方在电气设备试验、防护等施工过程中因乙方责任引起的安全事故，责任由乙方承担。</w:t>
      </w:r>
    </w:p>
    <w:p>
      <w:pPr>
        <w:spacing w:line="360" w:lineRule="auto"/>
        <w:ind w:left="420" w:leftChars="200" w:firstLine="394" w:firstLineChars="188"/>
        <w:rPr>
          <w:rFonts w:ascii="宋体" w:hAnsi="宋体"/>
        </w:rPr>
      </w:pPr>
      <w:r>
        <w:rPr>
          <w:rFonts w:hint="eastAsia" w:ascii="宋体" w:hAnsi="宋体"/>
        </w:rPr>
        <w:t>7.2.7乙方免费处理一次甲方的高压开关、低压总开关无法分合闸操作处理（当设备故障无法正常操作，需提供安装服务、安装材料或设备更新不在免费项目范围）。</w:t>
      </w:r>
    </w:p>
    <w:p>
      <w:pPr>
        <w:spacing w:line="360" w:lineRule="auto"/>
        <w:ind w:left="420" w:leftChars="200" w:firstLine="394" w:firstLineChars="188"/>
        <w:rPr>
          <w:rFonts w:ascii="宋体" w:hAnsi="宋体"/>
        </w:rPr>
      </w:pPr>
      <w:r>
        <w:rPr>
          <w:rFonts w:hint="eastAsia" w:ascii="宋体" w:hAnsi="宋体"/>
        </w:rPr>
        <w:t>7.2.8除本协议规定的免费处理事故项目外，甲方委托乙方进行设备安装、进行事故立项处理工程时，乙方按实际工程量根据施工当期现行全国统一预算定额及相关取费标准出具预算书，甲方书面同意后方可进行施工。安装工程所需材料由乙方按照用电安装规程的相关标准提供，材料费用由甲方支付；若甲方自行购买设备材料，甲方需出示有关设备材料出厂合格证及安装前交接试验合格报告，否则乙方有权利拒绝进行施工。</w:t>
      </w:r>
    </w:p>
    <w:p>
      <w:pPr>
        <w:spacing w:line="360" w:lineRule="auto"/>
        <w:rPr>
          <w:rFonts w:ascii="宋体" w:hAnsi="宋体"/>
        </w:rPr>
      </w:pPr>
      <w:r>
        <w:rPr>
          <w:rFonts w:hint="eastAsia" w:ascii="宋体" w:hAnsi="宋体"/>
        </w:rPr>
        <w:t xml:space="preserve">         7.2.9乙方对甲方提出的用电咨询做出免费解答。</w:t>
      </w:r>
    </w:p>
    <w:p>
      <w:pPr>
        <w:tabs>
          <w:tab w:val="left" w:pos="663"/>
        </w:tabs>
        <w:spacing w:line="360" w:lineRule="auto"/>
        <w:ind w:left="943" w:leftChars="201" w:hanging="521" w:hangingChars="247"/>
        <w:rPr>
          <w:rFonts w:ascii="宋体" w:hAnsi="宋体"/>
          <w:b/>
        </w:rPr>
      </w:pPr>
      <w:r>
        <w:rPr>
          <w:rFonts w:hint="eastAsia" w:ascii="宋体" w:hAnsi="宋体"/>
          <w:b/>
        </w:rPr>
        <w:t>八.违约责任</w:t>
      </w:r>
    </w:p>
    <w:p>
      <w:pPr>
        <w:spacing w:line="360" w:lineRule="auto"/>
        <w:ind w:left="420" w:leftChars="200" w:firstLine="413" w:firstLineChars="197"/>
        <w:rPr>
          <w:rFonts w:ascii="宋体" w:hAnsi="宋体"/>
        </w:rPr>
      </w:pPr>
      <w:r>
        <w:rPr>
          <w:rFonts w:hint="eastAsia" w:ascii="宋体" w:hAnsi="宋体"/>
        </w:rPr>
        <w:t>8.1甲方未能按照协议约定时间支付本协议费用，每逾期一天，按应付协议费用的万分之三向乙方支付违约金，甲方同时仍应履行付款义务，且乙方有权顺延试验及维护工作并延迟出具报告，期间所发生的事故，乙方不承担责任。逾期超过二十天的，乙方有权解除本协议。</w:t>
      </w:r>
    </w:p>
    <w:p>
      <w:pPr>
        <w:spacing w:line="360" w:lineRule="auto"/>
        <w:ind w:left="420" w:leftChars="200" w:firstLine="413" w:firstLineChars="197"/>
        <w:rPr>
          <w:rFonts w:ascii="宋体" w:hAnsi="宋体"/>
          <w:color w:val="000000"/>
        </w:rPr>
      </w:pPr>
      <w:r>
        <w:rPr>
          <w:rFonts w:hint="eastAsia" w:ascii="宋体" w:hAnsi="宋体"/>
          <w:color w:val="000000"/>
        </w:rPr>
        <w:t>8.2 因甲方原因不能如期完成试验或维护，乙方有权不退还甲方已支付的费用。存在未付费用的，应继续支付。</w:t>
      </w:r>
    </w:p>
    <w:p>
      <w:pPr>
        <w:spacing w:line="360" w:lineRule="auto"/>
        <w:ind w:left="420" w:leftChars="200" w:firstLine="413" w:firstLineChars="197"/>
        <w:rPr>
          <w:rFonts w:ascii="宋体" w:hAnsi="宋体"/>
          <w:color w:val="000000"/>
        </w:rPr>
      </w:pPr>
      <w:r>
        <w:rPr>
          <w:rFonts w:hint="eastAsia" w:ascii="宋体" w:hAnsi="宋体"/>
          <w:color w:val="000000"/>
        </w:rPr>
        <w:t>8.3 因乙方原因无法按期进行试验，乙方每天应按合同总价的万分之三支付违约金。双方可另行协商试验的时间，如经协商后，仍不能达成一致的，甲方有权解除协议及要求乙方退还已支付的试验费；因乙方原因在维护期限内未完成本协议规定的维护次数，甲方有权解除协议及要求乙方退还剩余次数的维护费。</w:t>
      </w:r>
    </w:p>
    <w:p>
      <w:pPr>
        <w:spacing w:line="360" w:lineRule="auto"/>
        <w:ind w:left="420" w:leftChars="200" w:firstLine="413" w:firstLineChars="197"/>
        <w:rPr>
          <w:rFonts w:ascii="宋体" w:hAnsi="宋体"/>
          <w:color w:val="000000"/>
        </w:rPr>
      </w:pPr>
      <w:r>
        <w:rPr>
          <w:rFonts w:hint="eastAsia" w:ascii="宋体" w:hAnsi="宋体"/>
          <w:color w:val="000000"/>
        </w:rPr>
        <w:t>8.4 任何一方违约导致协议提前解除或者任何一方违约提前解除本协议的，应按未履行部分费用的20%向对方支付违约金，并正常结算协议解除之前发生的服务费用，同时违约方还应赔偿守约方全部损失，包括但不限于诉讼费、保全费、律师费、鉴定费等，但依据本协议约定或法律规定提前解除协议的除外。</w:t>
      </w:r>
    </w:p>
    <w:p>
      <w:pPr>
        <w:tabs>
          <w:tab w:val="left" w:pos="663"/>
        </w:tabs>
        <w:spacing w:line="360" w:lineRule="auto"/>
        <w:ind w:firstLine="413" w:firstLineChars="196"/>
        <w:rPr>
          <w:rFonts w:ascii="宋体" w:hAnsi="宋体"/>
          <w:b/>
          <w:color w:val="000000"/>
        </w:rPr>
      </w:pPr>
      <w:r>
        <w:rPr>
          <w:rFonts w:hint="eastAsia" w:ascii="宋体" w:hAnsi="宋体"/>
          <w:b/>
          <w:color w:val="000000"/>
        </w:rPr>
        <w:t>九.不可抗力事件处理</w:t>
      </w:r>
    </w:p>
    <w:p>
      <w:pPr>
        <w:spacing w:line="360" w:lineRule="auto"/>
        <w:ind w:left="420" w:leftChars="200" w:firstLine="413" w:firstLineChars="197"/>
        <w:rPr>
          <w:rFonts w:ascii="宋体" w:hAnsi="宋体"/>
        </w:rPr>
      </w:pPr>
      <w:r>
        <w:rPr>
          <w:rFonts w:hint="eastAsia" w:ascii="宋体" w:hAnsi="宋体"/>
        </w:rPr>
        <w:t>甲乙双方签订协议后，若遇不可抗力因素或如下情况者，双方协商另约时间安排试验：</w:t>
      </w:r>
    </w:p>
    <w:p>
      <w:pPr>
        <w:spacing w:line="360" w:lineRule="auto"/>
        <w:ind w:left="420" w:leftChars="200" w:firstLine="413" w:firstLineChars="197"/>
        <w:rPr>
          <w:rFonts w:ascii="宋体" w:hAnsi="宋体"/>
        </w:rPr>
      </w:pPr>
      <w:r>
        <w:rPr>
          <w:rFonts w:hint="eastAsia" w:ascii="宋体" w:hAnsi="宋体"/>
        </w:rPr>
        <w:t>① 甲方因特殊原因无法停电；</w:t>
      </w:r>
    </w:p>
    <w:p>
      <w:pPr>
        <w:spacing w:line="360" w:lineRule="auto"/>
        <w:ind w:left="420" w:leftChars="200" w:firstLine="413" w:firstLineChars="197"/>
        <w:rPr>
          <w:rFonts w:ascii="宋体" w:hAnsi="宋体"/>
          <w:b/>
        </w:rPr>
      </w:pPr>
      <w:r>
        <w:rPr>
          <w:rFonts w:hint="eastAsia" w:ascii="宋体" w:hAnsi="宋体"/>
        </w:rPr>
        <w:t>② 因天气原因（如下雨或潮湿）影响不能进行试验或维护服务。</w:t>
      </w:r>
    </w:p>
    <w:p>
      <w:pPr>
        <w:tabs>
          <w:tab w:val="left" w:pos="663"/>
        </w:tabs>
        <w:spacing w:line="360" w:lineRule="auto"/>
        <w:ind w:firstLine="413" w:firstLineChars="196"/>
        <w:rPr>
          <w:rFonts w:ascii="宋体" w:hAnsi="宋体"/>
          <w:b/>
        </w:rPr>
      </w:pPr>
      <w:r>
        <w:rPr>
          <w:rFonts w:hint="eastAsia" w:ascii="宋体" w:hAnsi="宋体"/>
          <w:b/>
        </w:rPr>
        <w:t>十.诉讼</w:t>
      </w:r>
    </w:p>
    <w:p>
      <w:pPr>
        <w:tabs>
          <w:tab w:val="left" w:pos="442"/>
          <w:tab w:val="left" w:pos="1105"/>
        </w:tabs>
        <w:spacing w:line="360" w:lineRule="auto"/>
        <w:ind w:left="420" w:leftChars="200" w:firstLine="411" w:firstLineChars="196"/>
        <w:rPr>
          <w:rFonts w:ascii="宋体" w:hAnsi="宋体"/>
        </w:rPr>
      </w:pPr>
      <w:r>
        <w:rPr>
          <w:rFonts w:hint="eastAsia" w:ascii="宋体" w:hAnsi="宋体"/>
        </w:rPr>
        <w:t>双方在履行本协议中所发生的一切争议，应通过协商解决。如协商不成，甲乙双方可向甲方所在地人民法院提起诉讼。</w:t>
      </w:r>
    </w:p>
    <w:p>
      <w:pPr>
        <w:spacing w:line="360" w:lineRule="auto"/>
        <w:rPr>
          <w:rFonts w:ascii="宋体" w:hAnsi="宋体"/>
          <w:b/>
        </w:rPr>
      </w:pPr>
      <w:r>
        <w:rPr>
          <w:rFonts w:hint="eastAsia" w:ascii="宋体" w:hAnsi="宋体"/>
        </w:rPr>
        <w:t xml:space="preserve">    </w:t>
      </w:r>
      <w:r>
        <w:rPr>
          <w:rFonts w:hint="eastAsia" w:ascii="宋体" w:hAnsi="宋体"/>
          <w:b/>
        </w:rPr>
        <w:t>十一.协议生效及其他</w:t>
      </w:r>
    </w:p>
    <w:p>
      <w:pPr>
        <w:spacing w:line="360" w:lineRule="auto"/>
        <w:ind w:firstLine="720" w:firstLineChars="343"/>
        <w:rPr>
          <w:rFonts w:ascii="宋体" w:hAnsi="宋体"/>
        </w:rPr>
      </w:pPr>
      <w:r>
        <w:rPr>
          <w:rFonts w:hint="eastAsia" w:ascii="宋体" w:hAnsi="宋体"/>
        </w:rPr>
        <w:t>11.1 本协议经甲乙双方法定代表人或委托代理人签字并加盖单位公章或合同专用章后立即生效。</w:t>
      </w:r>
    </w:p>
    <w:p>
      <w:pPr>
        <w:spacing w:line="360" w:lineRule="auto"/>
        <w:ind w:firstLine="720" w:firstLineChars="343"/>
        <w:rPr>
          <w:rFonts w:ascii="宋体" w:hAnsi="宋体"/>
        </w:rPr>
      </w:pPr>
      <w:r>
        <w:rPr>
          <w:rFonts w:hint="eastAsia" w:ascii="宋体" w:hAnsi="宋体"/>
        </w:rPr>
        <w:t>11.2本协议包含附件一、附件二、附件三、附件四、附件五共5个附件，为本协议不可分割部分，具有同等法律效力。</w:t>
      </w:r>
    </w:p>
    <w:p>
      <w:pPr>
        <w:spacing w:line="360" w:lineRule="auto"/>
        <w:ind w:firstLine="525" w:firstLineChars="250"/>
        <w:rPr>
          <w:rFonts w:ascii="宋体" w:hAnsi="宋体"/>
        </w:rPr>
      </w:pPr>
      <w:r>
        <w:rPr>
          <w:rFonts w:hint="eastAsia" w:ascii="宋体" w:hAnsi="宋体"/>
        </w:rPr>
        <w:t xml:space="preserve">  11.3本协议一式肆份，甲方叁份，乙方壹份。</w:t>
      </w:r>
    </w:p>
    <w:p>
      <w:pPr>
        <w:spacing w:line="360" w:lineRule="auto"/>
        <w:ind w:firstLine="525" w:firstLineChars="250"/>
        <w:rPr>
          <w:rFonts w:ascii="宋体" w:hAnsi="宋体"/>
        </w:rPr>
      </w:pPr>
    </w:p>
    <w:p>
      <w:pPr>
        <w:spacing w:line="360" w:lineRule="auto"/>
        <w:ind w:firstLine="525" w:firstLineChars="250"/>
        <w:rPr>
          <w:rFonts w:ascii="宋体" w:hAnsi="宋体"/>
        </w:rPr>
      </w:pPr>
    </w:p>
    <w:p>
      <w:pPr>
        <w:spacing w:line="360" w:lineRule="auto"/>
        <w:ind w:firstLine="525" w:firstLineChars="250"/>
        <w:rPr>
          <w:rFonts w:ascii="宋体" w:hAnsi="宋体"/>
        </w:rPr>
      </w:pPr>
    </w:p>
    <w:p>
      <w:pPr>
        <w:spacing w:line="360" w:lineRule="auto"/>
      </w:pPr>
      <w:r>
        <w:rPr>
          <w:rFonts w:hint="eastAsia"/>
        </w:rPr>
        <w:t xml:space="preserve">         </w:t>
      </w:r>
      <w:r>
        <w:rPr>
          <w:rFonts w:hint="eastAsia"/>
          <w:bCs/>
        </w:rPr>
        <w:t>甲  方：</w:t>
      </w:r>
      <w:r>
        <w:rPr>
          <w:rFonts w:hint="eastAsia"/>
        </w:rPr>
        <w:t xml:space="preserve">                                    </w:t>
      </w:r>
      <w:r>
        <w:rPr>
          <w:rFonts w:hint="eastAsia"/>
          <w:bCs/>
        </w:rPr>
        <w:t>乙  方：</w:t>
      </w:r>
    </w:p>
    <w:p>
      <w:pPr>
        <w:spacing w:line="360" w:lineRule="auto"/>
        <w:ind w:firstLine="926" w:firstLineChars="441"/>
        <w:rPr>
          <w:bCs/>
        </w:rPr>
      </w:pPr>
      <w:r>
        <w:rPr>
          <w:rFonts w:hint="eastAsia"/>
        </w:rPr>
        <w:t>地  址：                                    地  址：</w:t>
      </w:r>
    </w:p>
    <w:p>
      <w:pPr>
        <w:tabs>
          <w:tab w:val="left" w:pos="5565"/>
        </w:tabs>
        <w:spacing w:line="360" w:lineRule="auto"/>
        <w:ind w:firstLine="926" w:firstLineChars="441"/>
        <w:rPr>
          <w:bCs/>
        </w:rPr>
      </w:pPr>
      <w:r>
        <w:rPr>
          <w:rFonts w:hint="eastAsia"/>
          <w:bCs/>
        </w:rPr>
        <w:t>法定代表人（签字）：                        法定代表人（签字）：</w:t>
      </w:r>
    </w:p>
    <w:p>
      <w:pPr>
        <w:tabs>
          <w:tab w:val="left" w:pos="5565"/>
        </w:tabs>
        <w:spacing w:line="360" w:lineRule="auto"/>
        <w:ind w:firstLine="926" w:firstLineChars="441"/>
        <w:rPr>
          <w:bCs/>
        </w:rPr>
      </w:pPr>
      <w:r>
        <w:rPr>
          <w:rFonts w:hint="eastAsia"/>
          <w:bCs/>
        </w:rPr>
        <w:t>或委托代理人（签字）：</w:t>
      </w:r>
      <w:r>
        <w:rPr>
          <w:bCs/>
        </w:rPr>
        <w:tab/>
      </w:r>
      <w:r>
        <w:rPr>
          <w:rFonts w:hint="eastAsia"/>
          <w:bCs/>
        </w:rPr>
        <w:t>或委托代理人（签字）：</w:t>
      </w:r>
    </w:p>
    <w:p>
      <w:pPr>
        <w:spacing w:line="360" w:lineRule="auto"/>
        <w:ind w:firstLine="926" w:firstLineChars="441"/>
        <w:rPr>
          <w:bCs/>
        </w:rPr>
      </w:pPr>
      <w:r>
        <w:rPr>
          <w:rFonts w:hint="eastAsia"/>
          <w:bCs/>
        </w:rPr>
        <w:t>联系人：                                    联系人：</w:t>
      </w:r>
    </w:p>
    <w:p>
      <w:pPr>
        <w:spacing w:line="360" w:lineRule="auto"/>
        <w:ind w:firstLine="926" w:firstLineChars="441"/>
        <w:rPr>
          <w:bCs/>
        </w:rPr>
      </w:pPr>
      <w:r>
        <w:rPr>
          <w:rFonts w:hint="eastAsia"/>
          <w:bCs/>
        </w:rPr>
        <w:t>联系电话：                                  联系电话：</w:t>
      </w:r>
    </w:p>
    <w:p>
      <w:pPr>
        <w:spacing w:line="360" w:lineRule="auto"/>
        <w:ind w:firstLine="926" w:firstLineChars="441"/>
        <w:rPr>
          <w:bCs/>
        </w:rPr>
      </w:pPr>
      <w:r>
        <w:rPr>
          <w:rFonts w:hint="eastAsia"/>
          <w:bCs/>
        </w:rPr>
        <w:t>日   期：                                   日   期：</w:t>
      </w:r>
    </w:p>
    <w:p>
      <w:pPr>
        <w:spacing w:line="360" w:lineRule="auto"/>
        <w:ind w:firstLine="926" w:firstLineChars="441"/>
        <w:rPr>
          <w:bCs/>
        </w:rPr>
      </w:pPr>
    </w:p>
    <w:p>
      <w:pPr>
        <w:spacing w:line="300" w:lineRule="exact"/>
        <w:rPr>
          <w:rFonts w:ascii="宋体" w:hAnsi="宋体"/>
          <w:b/>
          <w:sz w:val="28"/>
          <w:szCs w:val="28"/>
        </w:rPr>
      </w:pPr>
    </w:p>
    <w:p>
      <w:pPr>
        <w:spacing w:line="300" w:lineRule="exact"/>
        <w:rPr>
          <w:rFonts w:ascii="宋体" w:hAnsi="宋体"/>
          <w:b/>
          <w:sz w:val="28"/>
          <w:szCs w:val="28"/>
        </w:rPr>
      </w:pPr>
    </w:p>
    <w:p>
      <w:pPr>
        <w:spacing w:line="300" w:lineRule="exact"/>
        <w:rPr>
          <w:rFonts w:ascii="宋体" w:hAnsi="宋体"/>
          <w:b/>
          <w:sz w:val="28"/>
          <w:szCs w:val="28"/>
        </w:rPr>
      </w:pPr>
    </w:p>
    <w:p>
      <w:pPr>
        <w:spacing w:line="300" w:lineRule="exact"/>
        <w:rPr>
          <w:rFonts w:ascii="宋体" w:hAnsi="宋体"/>
          <w:b/>
          <w:sz w:val="28"/>
          <w:szCs w:val="28"/>
        </w:rPr>
      </w:pPr>
    </w:p>
    <w:p>
      <w:pPr>
        <w:spacing w:line="300" w:lineRule="exact"/>
        <w:rPr>
          <w:rFonts w:ascii="宋体" w:hAnsi="宋体"/>
          <w:b/>
          <w:sz w:val="28"/>
          <w:szCs w:val="28"/>
        </w:rPr>
      </w:pPr>
    </w:p>
    <w:p>
      <w:pPr>
        <w:spacing w:line="300" w:lineRule="exact"/>
        <w:rPr>
          <w:rFonts w:ascii="宋体" w:hAnsi="宋体"/>
          <w:b/>
          <w:sz w:val="28"/>
          <w:szCs w:val="28"/>
        </w:rPr>
      </w:pPr>
    </w:p>
    <w:p>
      <w:pPr>
        <w:spacing w:line="300" w:lineRule="exact"/>
        <w:rPr>
          <w:rFonts w:ascii="宋体" w:hAnsi="宋体"/>
          <w:b/>
          <w:sz w:val="28"/>
          <w:szCs w:val="28"/>
        </w:rPr>
      </w:pPr>
    </w:p>
    <w:p>
      <w:pPr>
        <w:spacing w:line="300" w:lineRule="exact"/>
        <w:rPr>
          <w:rFonts w:ascii="宋体" w:hAnsi="宋体"/>
          <w:b/>
          <w:sz w:val="28"/>
          <w:szCs w:val="28"/>
        </w:rPr>
      </w:pPr>
    </w:p>
    <w:p>
      <w:pPr>
        <w:spacing w:line="300" w:lineRule="exact"/>
        <w:rPr>
          <w:rFonts w:ascii="宋体" w:hAnsi="宋体"/>
          <w:b/>
          <w:sz w:val="28"/>
          <w:szCs w:val="28"/>
        </w:rPr>
      </w:pPr>
    </w:p>
    <w:p>
      <w:pPr>
        <w:spacing w:line="360" w:lineRule="exact"/>
        <w:rPr>
          <w:rFonts w:ascii="宋体" w:hAnsi="宋体"/>
          <w:b/>
          <w:sz w:val="28"/>
          <w:szCs w:val="28"/>
        </w:rPr>
      </w:pPr>
    </w:p>
    <w:p>
      <w:pPr>
        <w:spacing w:line="360" w:lineRule="exact"/>
        <w:rPr>
          <w:rFonts w:ascii="宋体" w:hAnsi="宋体"/>
          <w:b/>
          <w:sz w:val="28"/>
          <w:szCs w:val="28"/>
        </w:rPr>
      </w:pPr>
    </w:p>
    <w:p>
      <w:pPr>
        <w:rPr>
          <w:rFonts w:eastAsia="黑体"/>
          <w:sz w:val="48"/>
        </w:rPr>
        <w:sectPr>
          <w:pgSz w:w="11906" w:h="16838"/>
          <w:pgMar w:top="1135" w:right="1135" w:bottom="1135" w:left="1135" w:header="685" w:footer="567" w:gutter="0"/>
          <w:cols w:space="720" w:num="1"/>
          <w:docGrid w:type="lines" w:linePitch="312" w:charSpace="0"/>
        </w:sectPr>
      </w:pPr>
    </w:p>
    <w:p>
      <w:pPr>
        <w:pStyle w:val="2"/>
        <w:ind w:firstLine="210"/>
      </w:pPr>
    </w:p>
    <w:bookmarkEnd w:id="67"/>
    <w:p>
      <w:pPr>
        <w:pStyle w:val="3"/>
        <w:jc w:val="center"/>
        <w:rPr>
          <w:sz w:val="36"/>
          <w:szCs w:val="36"/>
        </w:rPr>
      </w:pPr>
      <w:bookmarkStart w:id="70" w:name="_Toc43264514"/>
      <w:bookmarkEnd w:id="70"/>
      <w:bookmarkStart w:id="71" w:name="_Toc50736472"/>
      <w:bookmarkStart w:id="72" w:name="_Toc50737292"/>
      <w:bookmarkStart w:id="73" w:name="_Toc50737324"/>
      <w:bookmarkStart w:id="74" w:name="_Toc87417454"/>
      <w:bookmarkStart w:id="75" w:name="_Toc30130"/>
      <w:bookmarkStart w:id="76" w:name="_Toc454458061"/>
      <w:bookmarkStart w:id="77" w:name="_Toc50691026"/>
      <w:r>
        <w:rPr>
          <w:rFonts w:hint="eastAsia"/>
          <w:sz w:val="36"/>
          <w:szCs w:val="36"/>
        </w:rPr>
        <w:t>第五章 响应文件格式</w:t>
      </w:r>
      <w:bookmarkEnd w:id="71"/>
      <w:bookmarkEnd w:id="72"/>
      <w:bookmarkEnd w:id="73"/>
      <w:bookmarkEnd w:id="74"/>
      <w:bookmarkEnd w:id="75"/>
      <w:bookmarkEnd w:id="76"/>
      <w:bookmarkEnd w:id="77"/>
    </w:p>
    <w:p>
      <w:pPr>
        <w:pStyle w:val="4"/>
        <w:widowControl/>
        <w:spacing w:line="440" w:lineRule="exact"/>
        <w:jc w:val="center"/>
        <w:rPr>
          <w:rFonts w:ascii="宋体" w:hAnsi="宋体" w:eastAsia="宋体" w:cs="宋体"/>
          <w:b w:val="0"/>
        </w:rPr>
      </w:pPr>
      <w:bookmarkStart w:id="78" w:name="_Toc454458062"/>
      <w:bookmarkStart w:id="79" w:name="_Toc453493041"/>
      <w:bookmarkStart w:id="80" w:name="_Toc448133318"/>
      <w:bookmarkStart w:id="81" w:name="_Toc321408662"/>
      <w:r>
        <w:rPr>
          <w:rFonts w:hint="eastAsia" w:ascii="宋体" w:hAnsi="宋体" w:eastAsia="宋体" w:cs="宋体"/>
          <w:b w:val="0"/>
        </w:rPr>
        <w:t>响应文件封面</w:t>
      </w:r>
      <w:bookmarkEnd w:id="78"/>
      <w:bookmarkEnd w:id="79"/>
      <w:bookmarkEnd w:id="80"/>
    </w:p>
    <w:tbl>
      <w:tblPr>
        <w:tblStyle w:val="35"/>
        <w:tblW w:w="960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27" w:hRule="atLeast"/>
        </w:trPr>
        <w:tc>
          <w:tcPr>
            <w:tcW w:w="9606" w:type="dxa"/>
            <w:tcBorders>
              <w:top w:val="single" w:color="auto" w:sz="4" w:space="0"/>
              <w:left w:val="single" w:color="auto" w:sz="4" w:space="0"/>
              <w:bottom w:val="single" w:color="auto" w:sz="4" w:space="0"/>
              <w:right w:val="single" w:color="auto" w:sz="4" w:space="0"/>
            </w:tcBorders>
          </w:tcPr>
          <w:p>
            <w:pPr>
              <w:pStyle w:val="32"/>
              <w:widowControl w:val="0"/>
              <w:spacing w:before="0" w:beforeAutospacing="0" w:after="0" w:afterAutospacing="0" w:line="360" w:lineRule="auto"/>
              <w:ind w:firstLine="482" w:firstLineChars="150"/>
              <w:jc w:val="both"/>
              <w:rPr>
                <w:rFonts w:ascii="仿宋_GB2312" w:eastAsia="仿宋_GB2312" w:cs="仿宋_GB2312"/>
                <w:b/>
                <w:kern w:val="2"/>
                <w:sz w:val="32"/>
                <w:szCs w:val="32"/>
              </w:rPr>
            </w:pPr>
          </w:p>
          <w:p>
            <w:pPr>
              <w:pStyle w:val="32"/>
              <w:widowControl w:val="0"/>
              <w:spacing w:before="0" w:beforeAutospacing="0" w:after="0" w:afterAutospacing="0" w:line="360" w:lineRule="auto"/>
              <w:ind w:firstLine="482" w:firstLineChars="150"/>
              <w:jc w:val="both"/>
              <w:rPr>
                <w:rFonts w:ascii="仿宋_GB2312" w:eastAsia="仿宋_GB2312" w:cs="仿宋_GB2312"/>
                <w:b/>
                <w:kern w:val="2"/>
                <w:sz w:val="32"/>
                <w:szCs w:val="32"/>
              </w:rPr>
            </w:pPr>
          </w:p>
          <w:p>
            <w:pPr>
              <w:pStyle w:val="32"/>
              <w:widowControl w:val="0"/>
              <w:spacing w:before="0" w:beforeAutospacing="0" w:after="0" w:afterAutospacing="0" w:line="360" w:lineRule="auto"/>
              <w:jc w:val="center"/>
              <w:rPr>
                <w:rFonts w:hAnsi="Times New Roman"/>
                <w:kern w:val="2"/>
                <w:sz w:val="52"/>
                <w:szCs w:val="52"/>
              </w:rPr>
            </w:pPr>
            <w:r>
              <w:rPr>
                <w:rFonts w:hint="eastAsia"/>
                <w:kern w:val="2"/>
                <w:sz w:val="52"/>
                <w:szCs w:val="52"/>
              </w:rPr>
              <w:t>广西南宁技师学院询价项目</w:t>
            </w:r>
          </w:p>
          <w:p>
            <w:pPr>
              <w:pStyle w:val="32"/>
              <w:widowControl w:val="0"/>
              <w:spacing w:before="0" w:beforeAutospacing="0" w:after="0" w:afterAutospacing="0" w:line="360" w:lineRule="auto"/>
              <w:jc w:val="center"/>
              <w:rPr>
                <w:rFonts w:hAnsi="Times New Roman"/>
                <w:kern w:val="2"/>
                <w:sz w:val="72"/>
                <w:szCs w:val="72"/>
              </w:rPr>
            </w:pPr>
            <w:r>
              <w:rPr>
                <w:rFonts w:hint="eastAsia"/>
                <w:kern w:val="2"/>
                <w:sz w:val="72"/>
                <w:szCs w:val="72"/>
              </w:rPr>
              <w:t>响应文件</w:t>
            </w:r>
          </w:p>
          <w:p>
            <w:pPr>
              <w:pStyle w:val="32"/>
              <w:widowControl w:val="0"/>
              <w:spacing w:before="0" w:beforeAutospacing="0" w:after="0" w:afterAutospacing="0" w:line="360" w:lineRule="auto"/>
              <w:jc w:val="center"/>
              <w:rPr>
                <w:rFonts w:hAnsi="Times New Roman"/>
                <w:kern w:val="2"/>
                <w:sz w:val="32"/>
                <w:szCs w:val="32"/>
              </w:rPr>
            </w:pPr>
          </w:p>
          <w:p>
            <w:pPr>
              <w:pStyle w:val="32"/>
              <w:widowControl w:val="0"/>
              <w:spacing w:before="0" w:beforeAutospacing="0" w:after="0" w:afterAutospacing="0" w:line="360" w:lineRule="auto"/>
              <w:jc w:val="center"/>
              <w:rPr>
                <w:rFonts w:ascii="黑体" w:hAnsi="Times New Roman" w:eastAsia="黑体" w:cs="黑体"/>
                <w:kern w:val="2"/>
                <w:sz w:val="32"/>
                <w:szCs w:val="32"/>
              </w:rPr>
            </w:pPr>
            <w:r>
              <w:rPr>
                <w:rFonts w:hint="eastAsia"/>
                <w:kern w:val="2"/>
                <w:sz w:val="32"/>
                <w:szCs w:val="32"/>
              </w:rPr>
              <w:t>□正本□副本</w:t>
            </w:r>
          </w:p>
          <w:p>
            <w:pPr>
              <w:pStyle w:val="32"/>
              <w:widowControl w:val="0"/>
              <w:spacing w:before="0" w:beforeAutospacing="0" w:after="0" w:afterAutospacing="0" w:line="360" w:lineRule="auto"/>
              <w:jc w:val="both"/>
              <w:rPr>
                <w:rFonts w:ascii="仿宋_GB2312" w:eastAsia="仿宋_GB2312" w:cs="仿宋_GB2312"/>
                <w:kern w:val="2"/>
                <w:sz w:val="32"/>
                <w:szCs w:val="32"/>
              </w:rPr>
            </w:pPr>
          </w:p>
          <w:p>
            <w:pPr>
              <w:pStyle w:val="32"/>
              <w:widowControl w:val="0"/>
              <w:spacing w:before="0" w:beforeAutospacing="0" w:after="0" w:afterAutospacing="0" w:line="400" w:lineRule="exact"/>
              <w:ind w:firstLine="896" w:firstLineChars="320"/>
              <w:jc w:val="both"/>
              <w:rPr>
                <w:rFonts w:hAnsi="Times New Roman"/>
                <w:kern w:val="2"/>
                <w:sz w:val="28"/>
                <w:szCs w:val="28"/>
              </w:rPr>
            </w:pPr>
          </w:p>
          <w:p>
            <w:pPr>
              <w:pStyle w:val="32"/>
              <w:widowControl w:val="0"/>
              <w:spacing w:before="0" w:beforeAutospacing="0" w:after="0" w:afterAutospacing="0" w:line="400" w:lineRule="exact"/>
              <w:ind w:firstLine="896" w:firstLineChars="320"/>
              <w:jc w:val="both"/>
              <w:rPr>
                <w:rFonts w:hAnsi="Times New Roman"/>
                <w:kern w:val="2"/>
                <w:sz w:val="28"/>
                <w:szCs w:val="28"/>
              </w:rPr>
            </w:pPr>
          </w:p>
          <w:p>
            <w:pPr>
              <w:pStyle w:val="32"/>
              <w:widowControl w:val="0"/>
              <w:spacing w:before="0" w:beforeAutospacing="0" w:after="0" w:afterAutospacing="0" w:line="400" w:lineRule="exact"/>
              <w:ind w:firstLine="896" w:firstLineChars="320"/>
              <w:jc w:val="both"/>
              <w:rPr>
                <w:rFonts w:hAnsi="Times New Roman"/>
                <w:kern w:val="2"/>
                <w:sz w:val="28"/>
                <w:szCs w:val="28"/>
              </w:rPr>
            </w:pPr>
          </w:p>
          <w:p>
            <w:pPr>
              <w:pStyle w:val="32"/>
              <w:widowControl w:val="0"/>
              <w:spacing w:before="0" w:beforeAutospacing="0" w:after="0" w:afterAutospacing="0" w:line="400" w:lineRule="exact"/>
              <w:ind w:firstLine="896" w:firstLineChars="320"/>
              <w:jc w:val="both"/>
              <w:rPr>
                <w:rFonts w:hAnsi="Times New Roman"/>
                <w:kern w:val="2"/>
                <w:sz w:val="28"/>
                <w:szCs w:val="28"/>
              </w:rPr>
            </w:pPr>
          </w:p>
          <w:p>
            <w:pPr>
              <w:pStyle w:val="32"/>
              <w:widowControl w:val="0"/>
              <w:spacing w:before="0" w:beforeAutospacing="0" w:after="120" w:afterAutospacing="0"/>
              <w:ind w:left="708" w:leftChars="337"/>
              <w:jc w:val="both"/>
              <w:rPr>
                <w:kern w:val="2"/>
                <w:sz w:val="28"/>
                <w:szCs w:val="28"/>
              </w:rPr>
            </w:pPr>
            <w:r>
              <w:rPr>
                <w:rFonts w:hint="eastAsia" w:ascii="Times New Roman" w:hAnsi="Times New Roman"/>
                <w:kern w:val="2"/>
                <w:sz w:val="28"/>
                <w:szCs w:val="28"/>
              </w:rPr>
              <w:t>项目编号：</w:t>
            </w:r>
          </w:p>
          <w:p>
            <w:pPr>
              <w:pStyle w:val="32"/>
              <w:widowControl w:val="0"/>
              <w:spacing w:before="0" w:beforeAutospacing="0" w:after="120" w:afterAutospacing="0"/>
              <w:ind w:left="708" w:leftChars="337"/>
              <w:jc w:val="both"/>
              <w:rPr>
                <w:kern w:val="2"/>
                <w:sz w:val="28"/>
                <w:szCs w:val="28"/>
              </w:rPr>
            </w:pPr>
            <w:r>
              <w:rPr>
                <w:rFonts w:hint="eastAsia" w:ascii="Times New Roman" w:hAnsi="Times New Roman"/>
                <w:kern w:val="2"/>
                <w:sz w:val="28"/>
                <w:szCs w:val="28"/>
              </w:rPr>
              <w:t>项目名称：</w:t>
            </w:r>
          </w:p>
          <w:p>
            <w:pPr>
              <w:pStyle w:val="32"/>
              <w:widowControl w:val="0"/>
              <w:spacing w:before="0" w:beforeAutospacing="0" w:after="120" w:afterAutospacing="0"/>
              <w:ind w:left="708" w:leftChars="337"/>
              <w:jc w:val="both"/>
              <w:rPr>
                <w:kern w:val="2"/>
                <w:sz w:val="28"/>
                <w:szCs w:val="28"/>
              </w:rPr>
            </w:pPr>
            <w:r>
              <w:rPr>
                <w:rFonts w:hint="eastAsia" w:ascii="Times New Roman" w:hAnsi="Times New Roman"/>
                <w:kern w:val="2"/>
                <w:sz w:val="28"/>
                <w:szCs w:val="28"/>
              </w:rPr>
              <w:t>供应商名称（公章）：</w:t>
            </w:r>
          </w:p>
          <w:p>
            <w:pPr>
              <w:pStyle w:val="32"/>
              <w:widowControl w:val="0"/>
              <w:spacing w:before="0" w:beforeAutospacing="0" w:after="120" w:afterAutospacing="0"/>
              <w:ind w:left="708" w:leftChars="337"/>
              <w:jc w:val="both"/>
              <w:rPr>
                <w:kern w:val="2"/>
                <w:sz w:val="28"/>
                <w:szCs w:val="28"/>
              </w:rPr>
            </w:pPr>
            <w:r>
              <w:rPr>
                <w:rFonts w:hint="eastAsia" w:ascii="Times New Roman" w:hAnsi="Times New Roman"/>
                <w:kern w:val="2"/>
                <w:sz w:val="28"/>
                <w:szCs w:val="28"/>
              </w:rPr>
              <w:t>供应商地址：</w:t>
            </w:r>
          </w:p>
          <w:p>
            <w:pPr>
              <w:tabs>
                <w:tab w:val="left" w:pos="851"/>
              </w:tabs>
              <w:autoSpaceDE w:val="0"/>
              <w:autoSpaceDN w:val="0"/>
              <w:adjustRightInd w:val="0"/>
              <w:snapToGrid w:val="0"/>
              <w:spacing w:line="420" w:lineRule="auto"/>
              <w:rPr>
                <w:rFonts w:ascii="仿宋_GB2312" w:eastAsia="仿宋_GB2312" w:cs="仿宋_GB2312"/>
                <w:b/>
                <w:sz w:val="32"/>
                <w:szCs w:val="32"/>
              </w:rPr>
            </w:pPr>
          </w:p>
        </w:tc>
      </w:tr>
      <w:bookmarkEnd w:id="81"/>
    </w:tbl>
    <w:p>
      <w:pPr>
        <w:outlineLvl w:val="1"/>
        <w:rPr>
          <w:rFonts w:ascii="宋体" w:hAnsi="Times New Roman" w:cs="宋体"/>
          <w:color w:val="FF0000"/>
          <w:kern w:val="0"/>
        </w:rPr>
      </w:pPr>
    </w:p>
    <w:p>
      <w:pPr>
        <w:pStyle w:val="2"/>
        <w:ind w:firstLine="210"/>
      </w:pPr>
    </w:p>
    <w:p>
      <w:pPr>
        <w:pStyle w:val="32"/>
        <w:widowControl w:val="0"/>
        <w:numPr>
          <w:ilvl w:val="0"/>
          <w:numId w:val="5"/>
        </w:numPr>
        <w:spacing w:before="0" w:beforeAutospacing="0" w:after="0" w:afterAutospacing="0"/>
        <w:rPr>
          <w:rFonts w:ascii="Arial" w:hAnsi="Arial" w:eastAsia="黑体"/>
          <w:sz w:val="28"/>
          <w:szCs w:val="28"/>
        </w:rPr>
      </w:pPr>
      <w:bookmarkStart w:id="82" w:name="_Toc50691028"/>
      <w:bookmarkStart w:id="83" w:name="_Toc52165077"/>
      <w:bookmarkStart w:id="84" w:name="_Toc168212179"/>
      <w:bookmarkStart w:id="85" w:name="_Toc50737293"/>
      <w:bookmarkStart w:id="86" w:name="_Toc50736473"/>
      <w:bookmarkStart w:id="87" w:name="_Toc50737325"/>
    </w:p>
    <w:p>
      <w:pPr>
        <w:jc w:val="center"/>
        <w:outlineLvl w:val="1"/>
        <w:rPr>
          <w:rFonts w:ascii="黑体" w:hAnsi="宋体" w:eastAsia="黑体" w:cs="黑体"/>
          <w:kern w:val="0"/>
          <w:sz w:val="32"/>
          <w:szCs w:val="32"/>
        </w:rPr>
      </w:pPr>
      <w:r>
        <w:rPr>
          <w:rFonts w:hint="eastAsia" w:ascii="黑体" w:hAnsi="宋体" w:eastAsia="黑体" w:cs="黑体"/>
          <w:kern w:val="0"/>
          <w:sz w:val="32"/>
          <w:szCs w:val="32"/>
        </w:rPr>
        <w:t>询价响应函</w:t>
      </w:r>
      <w:bookmarkEnd w:id="82"/>
      <w:bookmarkEnd w:id="83"/>
      <w:bookmarkEnd w:id="84"/>
      <w:bookmarkEnd w:id="85"/>
      <w:bookmarkEnd w:id="86"/>
      <w:bookmarkEnd w:id="87"/>
    </w:p>
    <w:p>
      <w:pPr>
        <w:spacing w:line="360" w:lineRule="auto"/>
        <w:ind w:left="105" w:leftChars="50" w:firstLine="2"/>
        <w:rPr>
          <w:rFonts w:ascii="宋体" w:hAnsi="Times New Roman" w:cs="宋体"/>
          <w:b/>
          <w:color w:val="000000"/>
        </w:rPr>
      </w:pPr>
      <w:r>
        <w:rPr>
          <w:rFonts w:hint="eastAsia" w:ascii="宋体" w:hAnsi="宋体" w:cs="宋体"/>
          <w:b/>
          <w:color w:val="000000"/>
        </w:rPr>
        <w:t>致：广西南宁技师学院</w:t>
      </w:r>
    </w:p>
    <w:p>
      <w:pPr>
        <w:spacing w:line="360" w:lineRule="auto"/>
        <w:ind w:firstLine="420" w:firstLineChars="200"/>
        <w:rPr>
          <w:rFonts w:ascii="宋体" w:hAnsi="Times New Roman" w:cs="宋体"/>
          <w:color w:val="000000"/>
        </w:rPr>
      </w:pPr>
      <w:r>
        <w:rPr>
          <w:rFonts w:hint="eastAsia" w:ascii="宋体" w:hAnsi="宋体" w:cs="宋体"/>
          <w:color w:val="000000"/>
        </w:rPr>
        <w:t>我方确认收到贵方</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u w:val="single"/>
        </w:rPr>
        <w:t>（</w:t>
      </w:r>
      <w:r>
        <w:rPr>
          <w:rFonts w:hint="eastAsia" w:ascii="宋体" w:hAnsi="宋体" w:cs="宋体"/>
          <w:color w:val="000000"/>
          <w:kern w:val="0"/>
          <w:u w:val="single"/>
        </w:rPr>
        <w:t>项目名称</w:t>
      </w:r>
      <w:r>
        <w:rPr>
          <w:rFonts w:hint="eastAsia" w:ascii="宋体" w:hAnsi="宋体" w:cs="宋体"/>
          <w:u w:val="single"/>
        </w:rPr>
        <w:t>）</w:t>
      </w:r>
      <w:r>
        <w:rPr>
          <w:rFonts w:ascii="宋体" w:hAnsi="宋体" w:cs="宋体"/>
          <w:u w:val="single"/>
        </w:rPr>
        <w:t xml:space="preserve">   </w:t>
      </w:r>
      <w:r>
        <w:rPr>
          <w:rFonts w:hint="eastAsia" w:ascii="宋体" w:hAnsi="宋体" w:cs="宋体"/>
          <w:color w:val="000000"/>
        </w:rPr>
        <w:t>的询价文件（项目编号</w:t>
      </w:r>
      <w:r>
        <w:rPr>
          <w:rFonts w:hint="eastAsia" w:ascii="宋体" w:hAnsi="宋体" w:cs="宋体"/>
        </w:rPr>
        <w:t>：</w:t>
      </w:r>
      <w:r>
        <w:rPr>
          <w:rFonts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color w:val="000000"/>
          <w:u w:val="single"/>
        </w:rPr>
        <w:t xml:space="preserve">供应商名称、地址)   </w:t>
      </w:r>
      <w:r>
        <w:rPr>
          <w:rFonts w:hint="eastAsia" w:ascii="宋体" w:hAnsi="宋体" w:cs="宋体"/>
          <w:color w:val="000000"/>
        </w:rPr>
        <w:t>作为供应商已正式授权</w:t>
      </w:r>
      <w:r>
        <w:rPr>
          <w:rFonts w:hint="eastAsia" w:ascii="宋体" w:hAnsi="宋体" w:cs="宋体"/>
          <w:color w:val="000000"/>
          <w:u w:val="single"/>
        </w:rPr>
        <w:t xml:space="preserve">    (供应商授权代表全名、职务)   </w:t>
      </w:r>
      <w:r>
        <w:rPr>
          <w:rFonts w:hint="eastAsia" w:ascii="宋体" w:hAnsi="宋体" w:cs="宋体"/>
          <w:color w:val="000000"/>
        </w:rPr>
        <w:t>，代表我方提交响应文件进行询价并签署本项目的相关文件。</w:t>
      </w:r>
    </w:p>
    <w:p>
      <w:pPr>
        <w:spacing w:line="360" w:lineRule="auto"/>
        <w:ind w:firstLine="420" w:firstLineChars="200"/>
        <w:rPr>
          <w:rFonts w:ascii="宋体" w:hAnsi="Times New Roman" w:cs="宋体"/>
          <w:color w:val="000000"/>
        </w:rPr>
      </w:pPr>
      <w:r>
        <w:rPr>
          <w:rFonts w:hint="eastAsia" w:ascii="宋体" w:hAnsi="宋体" w:cs="宋体"/>
          <w:color w:val="000000"/>
        </w:rPr>
        <w:t>授权代表在此声明并同意：</w:t>
      </w:r>
    </w:p>
    <w:p>
      <w:pPr>
        <w:adjustRightInd w:val="0"/>
        <w:snapToGrid w:val="0"/>
        <w:spacing w:line="400" w:lineRule="exact"/>
        <w:ind w:firstLine="420" w:firstLineChars="200"/>
        <w:rPr>
          <w:rFonts w:ascii="宋体" w:hAnsi="Times New Roman" w:cs="宋体"/>
          <w:color w:val="000000"/>
        </w:rPr>
      </w:pPr>
      <w:r>
        <w:rPr>
          <w:rFonts w:hint="eastAsia" w:ascii="宋体" w:hAnsi="宋体" w:cs="宋体"/>
          <w:color w:val="000000"/>
        </w:rPr>
        <w:t>1.我们愿意遵守采购人询价文件的各项规定，自愿参加询价</w:t>
      </w:r>
      <w:r>
        <w:rPr>
          <w:rFonts w:hint="eastAsia" w:ascii="宋体" w:hAnsi="Times New Roman" w:cs="宋体"/>
          <w:color w:val="000000"/>
        </w:rPr>
        <w:t>,</w:t>
      </w:r>
      <w:r>
        <w:rPr>
          <w:rFonts w:hint="eastAsia" w:ascii="宋体" w:hAnsi="宋体" w:cs="宋体"/>
          <w:color w:val="000000"/>
        </w:rPr>
        <w:t>且已清楚询价文件的要求及有关文件规定，并严格按照询价文件的规定履行全部责任和义务。</w:t>
      </w:r>
    </w:p>
    <w:p>
      <w:pPr>
        <w:adjustRightInd w:val="0"/>
        <w:snapToGrid w:val="0"/>
        <w:spacing w:line="400" w:lineRule="exact"/>
        <w:ind w:firstLine="420" w:firstLineChars="200"/>
        <w:rPr>
          <w:rFonts w:ascii="宋体" w:hAnsi="Times New Roman" w:cs="宋体"/>
          <w:color w:val="000000"/>
        </w:rPr>
      </w:pPr>
      <w:r>
        <w:rPr>
          <w:rFonts w:hint="eastAsia" w:ascii="宋体" w:hAnsi="宋体" w:cs="宋体"/>
          <w:color w:val="000000"/>
        </w:rPr>
        <w:t>2.我们同意本响应文件自询价开始之</w:t>
      </w:r>
      <w:r>
        <w:rPr>
          <w:rFonts w:hint="eastAsia" w:ascii="宋体" w:hAnsi="宋体" w:cs="宋体"/>
        </w:rPr>
        <w:t>日起</w:t>
      </w:r>
      <w:r>
        <w:rPr>
          <w:rFonts w:hint="eastAsia" w:ascii="宋体" w:hAnsi="宋体" w:cs="宋体"/>
          <w:u w:val="single"/>
        </w:rPr>
        <w:t>90</w:t>
      </w:r>
      <w:r>
        <w:rPr>
          <w:rFonts w:hint="eastAsia" w:ascii="宋体" w:hAnsi="宋体" w:cs="宋体"/>
        </w:rPr>
        <w:t>天内</w:t>
      </w:r>
      <w:r>
        <w:rPr>
          <w:rFonts w:hint="eastAsia" w:ascii="宋体" w:hAnsi="宋体" w:cs="宋体"/>
          <w:color w:val="000000"/>
        </w:rPr>
        <w:t>有效。</w:t>
      </w:r>
    </w:p>
    <w:p>
      <w:pPr>
        <w:adjustRightInd w:val="0"/>
        <w:snapToGrid w:val="0"/>
        <w:spacing w:line="400" w:lineRule="exact"/>
        <w:ind w:firstLine="420" w:firstLineChars="200"/>
        <w:rPr>
          <w:rFonts w:ascii="宋体" w:hAnsi="Times New Roman" w:cs="宋体"/>
          <w:color w:val="000000"/>
        </w:rPr>
      </w:pPr>
      <w:r>
        <w:rPr>
          <w:rFonts w:hint="eastAsia" w:ascii="宋体" w:hAnsi="宋体" w:cs="宋体"/>
          <w:color w:val="000000"/>
        </w:rPr>
        <w:t>3.我们已经详细地阅读全部询价文件及附件，包括澄清（如有）及参考文件，我们完全理解本询价文件及附件的要求。</w:t>
      </w:r>
    </w:p>
    <w:p>
      <w:pPr>
        <w:adjustRightInd w:val="0"/>
        <w:snapToGrid w:val="0"/>
        <w:spacing w:line="400" w:lineRule="exact"/>
        <w:ind w:firstLine="420" w:firstLineChars="200"/>
        <w:rPr>
          <w:rFonts w:ascii="宋体" w:hAnsi="Times New Roman" w:cs="宋体"/>
          <w:color w:val="000000"/>
        </w:rPr>
      </w:pPr>
      <w:r>
        <w:rPr>
          <w:rFonts w:hint="eastAsia" w:ascii="宋体" w:hAnsi="宋体" w:cs="宋体"/>
          <w:color w:val="000000"/>
        </w:rPr>
        <w:t>4.我们同意提供采购人与询价小组要求的有关询价的一切数据或资料。</w:t>
      </w:r>
    </w:p>
    <w:p>
      <w:pPr>
        <w:adjustRightInd w:val="0"/>
        <w:snapToGrid w:val="0"/>
        <w:spacing w:line="400" w:lineRule="exact"/>
        <w:ind w:firstLine="420" w:firstLineChars="200"/>
        <w:rPr>
          <w:rFonts w:ascii="宋体" w:hAnsi="Times New Roman" w:cs="宋体"/>
          <w:color w:val="000000"/>
        </w:rPr>
      </w:pPr>
      <w:r>
        <w:rPr>
          <w:rFonts w:hint="eastAsia" w:ascii="宋体" w:hAnsi="宋体" w:cs="宋体"/>
          <w:color w:val="000000"/>
        </w:rPr>
        <w:t>5.如果我们未对询价文件实质性条款的要求作出实质性响应，则完全同意并接受按无效响应处理。</w:t>
      </w:r>
    </w:p>
    <w:p>
      <w:pPr>
        <w:adjustRightInd w:val="0"/>
        <w:snapToGrid w:val="0"/>
        <w:spacing w:line="400" w:lineRule="exact"/>
        <w:ind w:firstLine="420" w:firstLineChars="200"/>
        <w:rPr>
          <w:rFonts w:ascii="宋体" w:hAnsi="Times New Roman" w:cs="宋体"/>
          <w:color w:val="000000"/>
        </w:rPr>
      </w:pPr>
      <w:r>
        <w:rPr>
          <w:rFonts w:hint="eastAsia" w:ascii="宋体" w:hAnsi="宋体" w:cs="宋体"/>
          <w:color w:val="000000"/>
        </w:rPr>
        <w:t>6.我们保证提交的一切文件，无论是原件或复印件均为准确、真实、有效、完整，绝无任何虚假、伪造或者夸大。</w:t>
      </w:r>
    </w:p>
    <w:p>
      <w:pPr>
        <w:adjustRightInd w:val="0"/>
        <w:snapToGrid w:val="0"/>
        <w:spacing w:line="400" w:lineRule="exact"/>
        <w:ind w:firstLine="420" w:firstLineChars="200"/>
        <w:rPr>
          <w:rFonts w:ascii="宋体" w:hAnsi="Times New Roman" w:cs="宋体"/>
          <w:color w:val="000000"/>
        </w:rPr>
      </w:pPr>
      <w:r>
        <w:rPr>
          <w:rFonts w:hint="eastAsia" w:ascii="宋体" w:hAnsi="宋体" w:cs="宋体"/>
          <w:color w:val="000000"/>
        </w:rPr>
        <w:t>7.我们在此郑重承诺：在本次采购活动中，如有违法、违规、弄虚作假行为，所造成的损失、不良后果及法律责任，一律由我公司（企业）承担。</w:t>
      </w:r>
    </w:p>
    <w:p>
      <w:pPr>
        <w:adjustRightInd w:val="0"/>
        <w:snapToGrid w:val="0"/>
        <w:spacing w:line="400" w:lineRule="exact"/>
        <w:ind w:firstLine="420" w:firstLineChars="200"/>
        <w:rPr>
          <w:rFonts w:ascii="宋体" w:hAnsi="Times New Roman" w:cs="宋体"/>
        </w:rPr>
      </w:pPr>
      <w:r>
        <w:rPr>
          <w:rFonts w:hint="eastAsia" w:ascii="宋体" w:hAnsi="宋体" w:cs="宋体"/>
          <w:color w:val="000000"/>
        </w:rPr>
        <w:t>8.我们是依法注册的法人，在法律、财务及运作上完</w:t>
      </w:r>
      <w:r>
        <w:rPr>
          <w:rFonts w:hint="eastAsia" w:ascii="宋体" w:hAnsi="宋体" w:cs="宋体"/>
        </w:rPr>
        <w:t>全独立于采购人。</w:t>
      </w:r>
    </w:p>
    <w:p>
      <w:pPr>
        <w:autoSpaceDE w:val="0"/>
        <w:autoSpaceDN w:val="0"/>
        <w:adjustRightInd w:val="0"/>
        <w:snapToGrid w:val="0"/>
        <w:spacing w:line="400" w:lineRule="exact"/>
        <w:ind w:left="420" w:firstLine="310"/>
        <w:rPr>
          <w:rFonts w:ascii="宋体" w:hAnsi="Times New Roman" w:cs="宋体"/>
          <w:color w:val="000000"/>
          <w:u w:val="single"/>
        </w:rPr>
      </w:pPr>
    </w:p>
    <w:p>
      <w:pPr>
        <w:adjustRightInd w:val="0"/>
        <w:snapToGrid w:val="0"/>
        <w:spacing w:line="400" w:lineRule="exact"/>
        <w:ind w:left="480"/>
        <w:rPr>
          <w:rFonts w:ascii="宋体" w:hAnsi="Times New Roman" w:cs="宋体"/>
          <w:color w:val="000000"/>
        </w:rPr>
      </w:pPr>
    </w:p>
    <w:p>
      <w:pPr>
        <w:adjustRightInd w:val="0"/>
        <w:snapToGrid w:val="0"/>
        <w:spacing w:line="360" w:lineRule="auto"/>
        <w:ind w:left="480"/>
        <w:rPr>
          <w:rFonts w:ascii="宋体" w:hAnsi="Times New Roman" w:cs="宋体"/>
          <w:color w:val="000000"/>
        </w:rPr>
      </w:pPr>
    </w:p>
    <w:p>
      <w:pPr>
        <w:adjustRightInd w:val="0"/>
        <w:snapToGrid w:val="0"/>
        <w:spacing w:line="360" w:lineRule="auto"/>
        <w:ind w:left="480"/>
        <w:rPr>
          <w:rFonts w:ascii="宋体" w:hAnsi="Times New Roman" w:cs="宋体"/>
          <w:color w:val="000000"/>
        </w:rPr>
      </w:pPr>
    </w:p>
    <w:p>
      <w:pPr>
        <w:adjustRightInd w:val="0"/>
        <w:snapToGrid w:val="0"/>
        <w:spacing w:line="360" w:lineRule="auto"/>
        <w:ind w:left="480"/>
        <w:rPr>
          <w:rFonts w:ascii="宋体" w:hAnsi="宋体" w:cs="宋体"/>
          <w:color w:val="000000"/>
        </w:rPr>
      </w:pPr>
      <w:r>
        <w:rPr>
          <w:rFonts w:hint="eastAsia" w:ascii="宋体" w:hAnsi="宋体" w:cs="宋体"/>
          <w:color w:val="000000"/>
        </w:rPr>
        <w:t>供应商名称（公章）:</w:t>
      </w:r>
    </w:p>
    <w:p>
      <w:pPr>
        <w:adjustRightInd w:val="0"/>
        <w:snapToGrid w:val="0"/>
        <w:spacing w:line="360" w:lineRule="auto"/>
        <w:ind w:left="480"/>
        <w:rPr>
          <w:rFonts w:ascii="宋体" w:hAnsi="宋体" w:cs="宋体"/>
          <w:color w:val="000000"/>
        </w:rPr>
      </w:pPr>
    </w:p>
    <w:p>
      <w:pPr>
        <w:adjustRightInd w:val="0"/>
        <w:snapToGrid w:val="0"/>
        <w:spacing w:line="360" w:lineRule="auto"/>
        <w:ind w:firstLine="472" w:firstLineChars="225"/>
        <w:rPr>
          <w:rFonts w:ascii="宋体" w:hAnsi="Times New Roman" w:cs="宋体"/>
        </w:rPr>
      </w:pPr>
      <w:r>
        <w:rPr>
          <w:rFonts w:hint="eastAsia" w:ascii="宋体" w:hAnsi="Times New Roman" w:cs="宋体"/>
        </w:rPr>
        <w:t>法定代表人或</w:t>
      </w:r>
      <w:r>
        <w:rPr>
          <w:rFonts w:hint="eastAsia" w:ascii="宋体" w:hAnsi="宋体" w:cs="宋体"/>
        </w:rPr>
        <w:t>其授权代表签名：</w:t>
      </w:r>
    </w:p>
    <w:p>
      <w:pPr>
        <w:adjustRightInd w:val="0"/>
        <w:snapToGrid w:val="0"/>
        <w:spacing w:line="360" w:lineRule="auto"/>
        <w:ind w:firstLine="472" w:firstLineChars="225"/>
        <w:rPr>
          <w:rFonts w:ascii="宋体" w:hAnsi="Times New Roman" w:cs="宋体"/>
        </w:rPr>
      </w:pPr>
    </w:p>
    <w:p>
      <w:pPr>
        <w:adjustRightInd w:val="0"/>
        <w:snapToGrid w:val="0"/>
        <w:spacing w:line="360" w:lineRule="auto"/>
        <w:ind w:firstLine="472" w:firstLineChars="225"/>
        <w:rPr>
          <w:rFonts w:ascii="宋体" w:hAnsi="Times New Roman" w:cs="宋体"/>
          <w:color w:val="000000"/>
        </w:rPr>
      </w:pPr>
      <w:r>
        <w:rPr>
          <w:rFonts w:hint="eastAsia" w:ascii="宋体" w:hAnsi="宋体" w:cs="宋体"/>
          <w:color w:val="000000"/>
        </w:rPr>
        <w:t>日期：</w:t>
      </w:r>
    </w:p>
    <w:p>
      <w:pPr>
        <w:adjustRightInd w:val="0"/>
        <w:snapToGrid w:val="0"/>
        <w:spacing w:line="360" w:lineRule="auto"/>
        <w:ind w:firstLine="472" w:firstLineChars="225"/>
        <w:rPr>
          <w:rFonts w:ascii="宋体" w:hAnsi="Times New Roman" w:cs="宋体"/>
          <w:color w:val="000000"/>
        </w:rPr>
      </w:pPr>
    </w:p>
    <w:p>
      <w:pPr>
        <w:spacing w:line="360" w:lineRule="auto"/>
        <w:ind w:left="105" w:leftChars="50" w:firstLine="2"/>
        <w:rPr>
          <w:rFonts w:ascii="宋体" w:hAnsi="Times New Roman" w:cs="宋体"/>
        </w:rPr>
      </w:pPr>
    </w:p>
    <w:p>
      <w:pPr>
        <w:rPr>
          <w:rFonts w:ascii="宋体" w:hAnsi="Times New Roman"/>
        </w:rPr>
        <w:sectPr>
          <w:pgSz w:w="11906" w:h="16838"/>
          <w:pgMar w:top="1135" w:right="1135" w:bottom="1135" w:left="1135" w:header="685" w:footer="567" w:gutter="0"/>
          <w:cols w:space="720" w:num="1"/>
          <w:docGrid w:type="lines" w:linePitch="312" w:charSpace="0"/>
        </w:sectPr>
      </w:pPr>
    </w:p>
    <w:p>
      <w:pPr>
        <w:numPr>
          <w:ilvl w:val="0"/>
          <w:numId w:val="5"/>
        </w:numPr>
        <w:spacing w:line="400" w:lineRule="exact"/>
        <w:rPr>
          <w:rFonts w:ascii="黑体" w:hAnsi="Times New Roman" w:eastAsia="黑体" w:cs="黑体"/>
          <w:sz w:val="28"/>
          <w:szCs w:val="28"/>
        </w:rPr>
      </w:pPr>
      <w:bookmarkStart w:id="88" w:name="_Toc50703722"/>
      <w:bookmarkStart w:id="89" w:name="_Toc50691029"/>
      <w:bookmarkStart w:id="90" w:name="_Toc43264516"/>
    </w:p>
    <w:p>
      <w:pPr>
        <w:jc w:val="center"/>
        <w:outlineLvl w:val="1"/>
        <w:rPr>
          <w:rFonts w:ascii="黑体" w:hAnsi="宋体" w:eastAsia="黑体" w:cs="黑体"/>
          <w:kern w:val="0"/>
          <w:sz w:val="32"/>
          <w:szCs w:val="32"/>
        </w:rPr>
      </w:pPr>
      <w:bookmarkStart w:id="91" w:name="_Toc237145559"/>
      <w:r>
        <w:rPr>
          <w:rFonts w:hint="eastAsia" w:ascii="黑体" w:hAnsi="宋体" w:eastAsia="黑体" w:cs="黑体"/>
          <w:kern w:val="0"/>
          <w:sz w:val="32"/>
          <w:szCs w:val="32"/>
        </w:rPr>
        <w:t>供应商资格声明函</w:t>
      </w:r>
      <w:bookmarkEnd w:id="91"/>
    </w:p>
    <w:p>
      <w:pPr>
        <w:spacing w:line="360" w:lineRule="auto"/>
        <w:ind w:firstLine="420"/>
        <w:rPr>
          <w:rFonts w:ascii="Times New Roman" w:hAnsi="Times New Roman" w:cs="宋体"/>
        </w:rPr>
      </w:pPr>
      <w:r>
        <w:rPr>
          <w:rFonts w:hint="eastAsia" w:ascii="Times New Roman" w:hAnsi="Times New Roman" w:cs="宋体"/>
        </w:rPr>
        <w:t>广西南宁技师学院：</w:t>
      </w:r>
    </w:p>
    <w:p>
      <w:pPr>
        <w:spacing w:line="360" w:lineRule="auto"/>
        <w:ind w:firstLine="420"/>
        <w:rPr>
          <w:rFonts w:ascii="Times New Roman" w:hAnsi="Times New Roman" w:cs="宋体"/>
        </w:rPr>
      </w:pPr>
      <w:r>
        <w:rPr>
          <w:rFonts w:hint="eastAsia" w:ascii="Times New Roman" w:hAnsi="Times New Roman" w:cs="宋体"/>
        </w:rPr>
        <w:t>关于贵单位</w:t>
      </w:r>
      <w:r>
        <w:rPr>
          <w:rFonts w:hint="eastAsia" w:ascii="Times New Roman" w:hAnsi="Times New Roman" w:cs="宋体"/>
          <w:u w:val="single"/>
        </w:rPr>
        <w:t xml:space="preserve">    </w:t>
      </w:r>
      <w:r>
        <w:rPr>
          <w:rFonts w:hint="eastAsia" w:ascii="Times New Roman" w:hAnsi="Times New Roman" w:cs="宋体"/>
        </w:rPr>
        <w:t>年</w:t>
      </w:r>
      <w:r>
        <w:rPr>
          <w:rFonts w:hint="eastAsia" w:ascii="Times New Roman" w:hAnsi="Times New Roman" w:cs="宋体"/>
          <w:u w:val="single"/>
        </w:rPr>
        <w:t xml:space="preserve">   </w:t>
      </w:r>
      <w:r>
        <w:rPr>
          <w:rFonts w:hint="eastAsia" w:ascii="Times New Roman" w:hAnsi="Times New Roman" w:cs="宋体"/>
        </w:rPr>
        <w:t>月</w:t>
      </w:r>
      <w:r>
        <w:rPr>
          <w:rFonts w:hint="eastAsia" w:ascii="Times New Roman" w:hAnsi="Times New Roman" w:cs="宋体"/>
          <w:u w:val="single"/>
        </w:rPr>
        <w:t xml:space="preserve">   </w:t>
      </w:r>
      <w:r>
        <w:rPr>
          <w:rFonts w:hint="eastAsia" w:ascii="Times New Roman" w:hAnsi="Times New Roman" w:cs="宋体"/>
        </w:rPr>
        <w:t>日发布</w:t>
      </w:r>
      <w:r>
        <w:rPr>
          <w:rFonts w:ascii="Times New Roman" w:hAnsi="Times New Roman" w:cs="宋体"/>
          <w:u w:val="single"/>
        </w:rPr>
        <w:t xml:space="preserve">                         </w:t>
      </w:r>
      <w:r>
        <w:rPr>
          <w:rFonts w:hint="eastAsia" w:ascii="Times New Roman" w:hAnsi="Times New Roman" w:cs="宋体"/>
        </w:rPr>
        <w:t>项目（项目编号：</w:t>
      </w:r>
      <w:r>
        <w:rPr>
          <w:rFonts w:hint="eastAsia" w:ascii="Times New Roman" w:hAnsi="Times New Roman" w:cs="宋体"/>
          <w:u w:val="single"/>
        </w:rPr>
        <w:t xml:space="preserve">    </w:t>
      </w:r>
      <w:r>
        <w:rPr>
          <w:rFonts w:ascii="Times New Roman" w:hAnsi="Times New Roman" w:cs="宋体"/>
          <w:u w:val="single"/>
        </w:rPr>
        <w:t xml:space="preserve">         </w:t>
      </w:r>
      <w:r>
        <w:rPr>
          <w:rFonts w:hint="eastAsia" w:ascii="Times New Roman" w:hAnsi="Times New Roman" w:cs="宋体"/>
          <w:u w:val="single"/>
        </w:rPr>
        <w:t xml:space="preserve">    </w:t>
      </w:r>
      <w:r>
        <w:rPr>
          <w:rFonts w:hint="eastAsia" w:ascii="Times New Roman" w:hAnsi="Times New Roman" w:cs="宋体"/>
        </w:rPr>
        <w:t>）的采购公告，本公司（企业）愿意参加报价，并声明：</w:t>
      </w:r>
    </w:p>
    <w:p>
      <w:pPr>
        <w:spacing w:line="360" w:lineRule="auto"/>
        <w:ind w:firstLine="420"/>
        <w:rPr>
          <w:rFonts w:ascii="Times New Roman" w:hAnsi="Times New Roman" w:cs="宋体"/>
        </w:rPr>
      </w:pPr>
      <w:r>
        <w:rPr>
          <w:rFonts w:hint="eastAsia" w:ascii="Times New Roman" w:hAnsi="Times New Roman" w:cs="宋体"/>
        </w:rPr>
        <w:t>一、本公司（企业）具备《中华人民共和国政府采购法》第二十二条规定的条件：</w:t>
      </w:r>
    </w:p>
    <w:p>
      <w:pPr>
        <w:spacing w:line="360" w:lineRule="auto"/>
        <w:ind w:firstLine="420"/>
        <w:rPr>
          <w:rFonts w:ascii="Times New Roman" w:hAnsi="Times New Roman" w:cs="宋体"/>
        </w:rPr>
      </w:pPr>
      <w:r>
        <w:rPr>
          <w:rFonts w:hint="eastAsia" w:ascii="Times New Roman" w:hAnsi="Times New Roman" w:cs="宋体"/>
        </w:rPr>
        <w:t>（一）具有独立承担民事责任的能力；</w:t>
      </w:r>
    </w:p>
    <w:p>
      <w:pPr>
        <w:spacing w:line="360" w:lineRule="auto"/>
        <w:ind w:firstLine="420"/>
        <w:rPr>
          <w:rFonts w:ascii="Times New Roman" w:hAnsi="Times New Roman" w:cs="宋体"/>
        </w:rPr>
      </w:pPr>
      <w:r>
        <w:rPr>
          <w:rFonts w:hint="eastAsia" w:ascii="Times New Roman" w:hAnsi="Times New Roman" w:cs="宋体"/>
        </w:rPr>
        <w:t>（二）具有良好的商业信誉和健全的财务会计制度；</w:t>
      </w:r>
    </w:p>
    <w:p>
      <w:pPr>
        <w:spacing w:line="360" w:lineRule="auto"/>
        <w:ind w:firstLine="420"/>
        <w:rPr>
          <w:rFonts w:ascii="Times New Roman" w:hAnsi="Times New Roman" w:cs="宋体"/>
        </w:rPr>
      </w:pPr>
      <w:r>
        <w:rPr>
          <w:rFonts w:hint="eastAsia" w:ascii="Times New Roman" w:hAnsi="Times New Roman" w:cs="宋体"/>
        </w:rPr>
        <w:t>（三）具有履行合同所必需的设备和专业技术能力；</w:t>
      </w:r>
    </w:p>
    <w:p>
      <w:pPr>
        <w:spacing w:line="360" w:lineRule="auto"/>
        <w:ind w:firstLine="420"/>
        <w:rPr>
          <w:rFonts w:ascii="Times New Roman" w:hAnsi="Times New Roman" w:cs="宋体"/>
        </w:rPr>
      </w:pPr>
      <w:r>
        <w:rPr>
          <w:rFonts w:hint="eastAsia" w:ascii="Times New Roman" w:hAnsi="Times New Roman" w:cs="宋体"/>
        </w:rPr>
        <w:t>（四）有依法缴纳税收和社会保障资金的良好记录；</w:t>
      </w:r>
    </w:p>
    <w:p>
      <w:pPr>
        <w:spacing w:line="360" w:lineRule="auto"/>
        <w:ind w:firstLine="420" w:firstLineChars="200"/>
        <w:rPr>
          <w:rFonts w:ascii="Times New Roman" w:hAnsi="Times New Roman" w:cs="宋体"/>
        </w:rPr>
      </w:pPr>
      <w:r>
        <w:rPr>
          <w:rFonts w:hint="eastAsia" w:ascii="Times New Roman" w:hAnsi="Times New Roman" w:cs="宋体"/>
        </w:rPr>
        <w:t>（五）参加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360" w:lineRule="auto"/>
        <w:ind w:firstLine="420"/>
        <w:rPr>
          <w:rFonts w:ascii="Times New Roman" w:hAnsi="Times New Roman" w:cs="宋体"/>
        </w:rPr>
      </w:pPr>
      <w:r>
        <w:rPr>
          <w:rFonts w:hint="eastAsia" w:ascii="Times New Roman" w:hAnsi="Times New Roman" w:cs="宋体"/>
        </w:rPr>
        <w:t>（六）法律、行政法规规定的其他条件。</w:t>
      </w:r>
    </w:p>
    <w:p>
      <w:pPr>
        <w:spacing w:line="360" w:lineRule="auto"/>
        <w:ind w:firstLine="420"/>
        <w:rPr>
          <w:rFonts w:ascii="Times New Roman" w:hAnsi="Times New Roman" w:cs="宋体"/>
        </w:rPr>
      </w:pPr>
      <w:r>
        <w:rPr>
          <w:rFonts w:hint="eastAsia" w:ascii="Times New Roman" w:hAnsi="Times New Roman" w:cs="宋体"/>
        </w:rPr>
        <w:t>二、本公司（企业）未被广西南宁技师学院曝光或记录供应商不良行为。</w:t>
      </w:r>
    </w:p>
    <w:p>
      <w:pPr>
        <w:spacing w:line="360" w:lineRule="auto"/>
        <w:ind w:firstLine="420"/>
        <w:rPr>
          <w:rFonts w:ascii="Times New Roman" w:hAnsi="Times New Roman" w:cs="宋体"/>
        </w:rPr>
      </w:pPr>
      <w:r>
        <w:rPr>
          <w:rFonts w:hint="eastAsia" w:ascii="Times New Roman" w:hAnsi="Times New Roman" w:cs="宋体"/>
        </w:rPr>
        <w:t>二、根据《中华人民共和国政府采购法实施条例》的规定，本公司（企业）如为采购项目（包组） 提供整体设计、规范编制或者项目管理、监理、检测等服务的供应商，不再参加该采购项目的其他采购活动。</w:t>
      </w:r>
    </w:p>
    <w:p>
      <w:pPr>
        <w:spacing w:line="360" w:lineRule="auto"/>
        <w:ind w:firstLine="420"/>
        <w:rPr>
          <w:rFonts w:ascii="Times New Roman" w:hAnsi="Times New Roman" w:cs="宋体"/>
        </w:rPr>
      </w:pPr>
      <w:r>
        <w:rPr>
          <w:rFonts w:hint="eastAsia" w:ascii="Times New Roman" w:hAnsi="Times New Roman" w:cs="宋体"/>
        </w:rPr>
        <w:t>三、我方承诺单位负责人为同一人或者存在直接控股、管理关系的不同供应商，不得同时参加本采购项目报价。</w:t>
      </w:r>
    </w:p>
    <w:p>
      <w:pPr>
        <w:spacing w:line="360" w:lineRule="auto"/>
        <w:ind w:firstLine="420"/>
        <w:rPr>
          <w:rFonts w:ascii="Times New Roman" w:hAnsi="Times New Roman" w:cs="宋体"/>
        </w:rPr>
      </w:pPr>
      <w:r>
        <w:rPr>
          <w:rFonts w:hint="eastAsia" w:ascii="Times New Roman" w:hAnsi="Times New Roman" w:cs="宋体"/>
        </w:rPr>
        <w:t>本公司（企业）承诺在本次采购活动中，如有违法、违规、弄虚作假行为，所造成的损失、不良后果及法律责任，一律由我公司（企业）承担。</w:t>
      </w:r>
    </w:p>
    <w:p>
      <w:pPr>
        <w:spacing w:line="360" w:lineRule="auto"/>
        <w:ind w:firstLine="420"/>
        <w:rPr>
          <w:rFonts w:ascii="Times New Roman" w:hAnsi="Times New Roman" w:cs="宋体"/>
        </w:rPr>
      </w:pPr>
      <w:r>
        <w:rPr>
          <w:rFonts w:hint="eastAsia" w:ascii="Times New Roman" w:hAnsi="Times New Roman" w:cs="宋体"/>
        </w:rPr>
        <w:t>特此声明！</w:t>
      </w:r>
    </w:p>
    <w:p>
      <w:pPr>
        <w:spacing w:line="360" w:lineRule="auto"/>
        <w:ind w:firstLine="420"/>
      </w:pPr>
      <w:r>
        <w:rPr>
          <w:rFonts w:hint="eastAsia" w:ascii="Times New Roman" w:hAnsi="Times New Roman" w:cs="宋体"/>
        </w:rPr>
        <w:t>备注：1. 本声明函如有虚假或与事实不符的，作无效报价处理。</w:t>
      </w:r>
    </w:p>
    <w:p>
      <w:pPr>
        <w:spacing w:line="360" w:lineRule="auto"/>
        <w:ind w:firstLine="420"/>
      </w:pPr>
    </w:p>
    <w:p>
      <w:pPr>
        <w:spacing w:line="360" w:lineRule="auto"/>
        <w:ind w:firstLine="420"/>
      </w:pPr>
    </w:p>
    <w:p>
      <w:pPr>
        <w:spacing w:line="360" w:lineRule="auto"/>
        <w:ind w:firstLine="420"/>
      </w:pPr>
    </w:p>
    <w:p>
      <w:pPr>
        <w:adjustRightInd w:val="0"/>
        <w:snapToGrid w:val="0"/>
        <w:spacing w:line="360" w:lineRule="auto"/>
        <w:ind w:left="480"/>
        <w:rPr>
          <w:rFonts w:ascii="宋体" w:hAnsi="宋体" w:cs="宋体"/>
          <w:color w:val="000000"/>
        </w:rPr>
      </w:pPr>
      <w:r>
        <w:rPr>
          <w:rFonts w:hint="eastAsia" w:ascii="宋体" w:hAnsi="宋体" w:cs="宋体"/>
          <w:color w:val="000000"/>
        </w:rPr>
        <w:t>供应商名称（公章）:</w:t>
      </w:r>
    </w:p>
    <w:p>
      <w:pPr>
        <w:adjustRightInd w:val="0"/>
        <w:snapToGrid w:val="0"/>
        <w:spacing w:line="360" w:lineRule="auto"/>
        <w:ind w:left="480"/>
        <w:rPr>
          <w:rFonts w:ascii="宋体" w:hAnsi="宋体" w:cs="宋体"/>
          <w:color w:val="000000"/>
        </w:rPr>
      </w:pPr>
    </w:p>
    <w:p>
      <w:pPr>
        <w:adjustRightInd w:val="0"/>
        <w:snapToGrid w:val="0"/>
        <w:spacing w:line="360" w:lineRule="auto"/>
        <w:ind w:firstLine="472" w:firstLineChars="225"/>
        <w:rPr>
          <w:rFonts w:ascii="宋体" w:hAnsi="Times New Roman" w:cs="宋体"/>
        </w:rPr>
      </w:pPr>
      <w:r>
        <w:rPr>
          <w:rFonts w:hint="eastAsia" w:ascii="宋体" w:hAnsi="Times New Roman" w:cs="宋体"/>
        </w:rPr>
        <w:t>法定代表人或</w:t>
      </w:r>
      <w:r>
        <w:rPr>
          <w:rFonts w:hint="eastAsia" w:ascii="宋体" w:hAnsi="宋体" w:cs="宋体"/>
        </w:rPr>
        <w:t>其授权代表签名：</w:t>
      </w:r>
    </w:p>
    <w:p>
      <w:pPr>
        <w:adjustRightInd w:val="0"/>
        <w:snapToGrid w:val="0"/>
        <w:spacing w:line="360" w:lineRule="auto"/>
        <w:ind w:firstLine="472" w:firstLineChars="225"/>
        <w:rPr>
          <w:rFonts w:ascii="宋体" w:hAnsi="Times New Roman" w:cs="宋体"/>
        </w:rPr>
      </w:pPr>
    </w:p>
    <w:p>
      <w:pPr>
        <w:adjustRightInd w:val="0"/>
        <w:snapToGrid w:val="0"/>
        <w:spacing w:line="360" w:lineRule="auto"/>
        <w:ind w:firstLine="472" w:firstLineChars="225"/>
        <w:rPr>
          <w:rFonts w:ascii="宋体" w:hAnsi="Times New Roman" w:cs="宋体"/>
        </w:rPr>
      </w:pPr>
      <w:r>
        <w:rPr>
          <w:rFonts w:hint="eastAsia" w:ascii="宋体" w:hAnsi="宋体" w:cs="宋体"/>
          <w:color w:val="000000"/>
        </w:rPr>
        <w:t>日期：</w:t>
      </w:r>
    </w:p>
    <w:p>
      <w:pPr>
        <w:spacing w:line="360" w:lineRule="auto"/>
        <w:ind w:firstLine="525" w:firstLineChars="250"/>
        <w:rPr>
          <w:rFonts w:ascii="宋体" w:hAnsi="Times New Roman" w:cs="宋体"/>
          <w:color w:val="000000"/>
          <w:lang w:val="zh-CN"/>
        </w:rPr>
      </w:pPr>
    </w:p>
    <w:p>
      <w:pPr>
        <w:pStyle w:val="2"/>
        <w:ind w:firstLine="210"/>
        <w:rPr>
          <w:lang w:val="zh-CN"/>
        </w:rPr>
      </w:pPr>
    </w:p>
    <w:p>
      <w:pPr>
        <w:pStyle w:val="2"/>
        <w:ind w:firstLine="210"/>
        <w:rPr>
          <w:lang w:val="zh-CN"/>
        </w:rPr>
      </w:pPr>
    </w:p>
    <w:p>
      <w:pPr>
        <w:spacing w:line="360" w:lineRule="auto"/>
        <w:ind w:firstLine="527" w:firstLineChars="250"/>
        <w:rPr>
          <w:rFonts w:ascii="宋体" w:hAnsi="Times New Roman" w:cs="宋体"/>
          <w:b/>
          <w:bCs/>
          <w:color w:val="000000"/>
          <w:lang w:val="zh-CN"/>
        </w:rPr>
      </w:pPr>
      <w:r>
        <w:rPr>
          <w:rFonts w:hint="eastAsia" w:ascii="宋体" w:hAnsi="Times New Roman" w:cs="宋体"/>
          <w:b/>
          <w:bCs/>
          <w:color w:val="000000"/>
          <w:lang w:val="zh-CN"/>
        </w:rPr>
        <w:t>附件：</w:t>
      </w:r>
    </w:p>
    <w:p>
      <w:pPr>
        <w:spacing w:line="360" w:lineRule="auto"/>
        <w:ind w:left="425" w:hanging="5"/>
        <w:rPr>
          <w:rFonts w:ascii="宋体" w:hAnsi="宋体" w:cs="宋体"/>
        </w:rPr>
      </w:pPr>
      <w:r>
        <w:rPr>
          <w:rFonts w:hint="eastAsia" w:ascii="宋体" w:hAnsi="宋体" w:cs="宋体"/>
        </w:rPr>
        <w:t>(1)</w:t>
      </w:r>
      <w:r>
        <w:rPr>
          <w:rFonts w:hint="eastAsia" w:ascii="宋体" w:hAnsi="宋体" w:cs="宋体"/>
        </w:rPr>
        <w:tab/>
      </w:r>
      <w:r>
        <w:rPr>
          <w:rFonts w:hint="eastAsia" w:ascii="宋体" w:hAnsi="宋体" w:cs="宋体"/>
        </w:rPr>
        <w:t>提供在中华人民共和国境内注册的法人或其他组织的营业执照或事业单位法人证书或社会团体法人登记证书复印件；自然人投标的须提供自然人身份证复印件；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pPr>
        <w:spacing w:line="360" w:lineRule="auto"/>
        <w:ind w:left="425" w:hanging="5"/>
        <w:rPr>
          <w:rFonts w:ascii="宋体" w:hAnsi="宋体" w:cs="宋体"/>
        </w:rPr>
      </w:pPr>
      <w:r>
        <w:rPr>
          <w:rFonts w:hint="eastAsia" w:ascii="宋体" w:hAnsi="宋体" w:cs="宋体"/>
        </w:rPr>
        <w:t>(2)</w:t>
      </w:r>
      <w:r>
        <w:rPr>
          <w:rFonts w:hint="eastAsia" w:ascii="宋体" w:hAnsi="宋体" w:cs="宋体"/>
        </w:rPr>
        <w:tab/>
      </w:r>
      <w:r>
        <w:rPr>
          <w:rFonts w:hint="eastAsia" w:ascii="宋体" w:hAnsi="宋体" w:cs="宋体"/>
        </w:rPr>
        <w:t>提供投标截止日前在“国家企业信用信息公示系统” (www.gsxt.gov.cn) 查询信息中的“营业执照信息”、“股东及出资信息”、“主要人员信息”截图加盖公章；</w:t>
      </w:r>
    </w:p>
    <w:p>
      <w:pPr>
        <w:spacing w:line="360" w:lineRule="auto"/>
        <w:ind w:left="425" w:hanging="5"/>
        <w:rPr>
          <w:rFonts w:ascii="宋体" w:hAnsi="宋体" w:cs="宋体"/>
        </w:rPr>
      </w:pPr>
      <w:r>
        <w:rPr>
          <w:rFonts w:hint="eastAsia" w:ascii="宋体" w:hAnsi="宋体" w:cs="宋体"/>
        </w:rPr>
        <w:t>(3)</w:t>
      </w:r>
      <w:r>
        <w:rPr>
          <w:rFonts w:hint="eastAsia" w:ascii="宋体" w:hAnsi="宋体" w:cs="宋体"/>
        </w:rPr>
        <w:tab/>
      </w:r>
      <w:r>
        <w:rPr>
          <w:rFonts w:hint="eastAsia" w:ascii="宋体" w:hAnsi="宋体" w:cs="宋体"/>
        </w:rPr>
        <w:t>提供投标截止日前在“信用中国”网站（www.creditchina.gov.cn）查询结果截图复印件加盖公章；</w:t>
      </w:r>
    </w:p>
    <w:p>
      <w:pPr>
        <w:spacing w:line="360" w:lineRule="auto"/>
        <w:ind w:left="425" w:hanging="5"/>
        <w:rPr>
          <w:rFonts w:ascii="宋体" w:hAnsi="宋体" w:cs="宋体"/>
        </w:rPr>
      </w:pPr>
      <w:r>
        <w:rPr>
          <w:rFonts w:hint="eastAsia" w:ascii="宋体" w:hAnsi="宋体" w:cs="宋体"/>
        </w:rPr>
        <w:t>(4)</w:t>
      </w:r>
      <w:r>
        <w:rPr>
          <w:rFonts w:hint="eastAsia" w:ascii="宋体" w:hAnsi="宋体" w:cs="宋体"/>
        </w:rPr>
        <w:tab/>
      </w:r>
      <w:r>
        <w:rPr>
          <w:rFonts w:hint="eastAsia" w:ascii="宋体" w:hAnsi="宋体" w:cs="宋体"/>
        </w:rPr>
        <w:t>提供投标截止日前在中国政府采购网(www.ccgp.gov.cn) 查询结果截图复印件加盖公章；</w:t>
      </w:r>
    </w:p>
    <w:p>
      <w:pPr>
        <w:spacing w:line="360" w:lineRule="auto"/>
        <w:ind w:left="425" w:hanging="5"/>
        <w:rPr>
          <w:rFonts w:ascii="宋体" w:hAnsi="宋体" w:cs="宋体"/>
        </w:rPr>
      </w:pPr>
      <w:r>
        <w:rPr>
          <w:rFonts w:hint="eastAsia" w:ascii="宋体" w:hAnsi="宋体" w:cs="宋体"/>
        </w:rPr>
        <w:t>(5)</w:t>
      </w:r>
      <w:r>
        <w:rPr>
          <w:rFonts w:hint="eastAsia" w:ascii="宋体" w:hAnsi="宋体" w:cs="宋体"/>
        </w:rPr>
        <w:tab/>
      </w:r>
      <w:r>
        <w:rPr>
          <w:rFonts w:hint="eastAsia" w:ascii="宋体" w:hAnsi="宋体" w:cs="宋体"/>
        </w:rPr>
        <w:t>资格条件要求的其他文件（如有），提供相应复印件加盖公章；</w:t>
      </w: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rPr>
          <w:rFonts w:ascii="宋体" w:hAnsi="宋体" w:cs="宋体"/>
        </w:rPr>
      </w:pPr>
    </w:p>
    <w:p>
      <w:pPr>
        <w:numPr>
          <w:ilvl w:val="0"/>
          <w:numId w:val="5"/>
        </w:numPr>
        <w:spacing w:line="400" w:lineRule="exact"/>
        <w:rPr>
          <w:rFonts w:ascii="黑体" w:hAnsi="Times New Roman" w:eastAsia="黑体" w:cs="黑体"/>
          <w:sz w:val="28"/>
          <w:szCs w:val="28"/>
        </w:rPr>
      </w:pPr>
    </w:p>
    <w:p>
      <w:pPr>
        <w:jc w:val="center"/>
        <w:outlineLvl w:val="1"/>
        <w:rPr>
          <w:rFonts w:ascii="黑体" w:hAnsi="宋体" w:eastAsia="黑体" w:cs="黑体"/>
          <w:kern w:val="0"/>
          <w:sz w:val="32"/>
          <w:szCs w:val="32"/>
        </w:rPr>
      </w:pPr>
      <w:r>
        <w:rPr>
          <w:rFonts w:hint="eastAsia" w:ascii="黑体" w:hAnsi="宋体" w:eastAsia="黑体" w:cs="黑体"/>
          <w:kern w:val="0"/>
          <w:sz w:val="32"/>
          <w:szCs w:val="32"/>
        </w:rPr>
        <w:t>无围标、串标行为承诺书</w:t>
      </w:r>
    </w:p>
    <w:p>
      <w:pPr>
        <w:spacing w:before="312" w:beforeLines="100" w:after="156" w:afterLines="50" w:line="360" w:lineRule="auto"/>
        <w:ind w:firstLine="420" w:firstLineChars="200"/>
        <w:rPr>
          <w:rFonts w:ascii="宋体" w:cs="Times New Roman"/>
        </w:rPr>
      </w:pPr>
      <w:r>
        <w:rPr>
          <w:rFonts w:hint="eastAsia" w:ascii="宋体" w:hAnsi="宋体" w:cs="宋体"/>
        </w:rPr>
        <w:t>本公司郑重承诺：本公司在参加本次</w:t>
      </w:r>
      <w:r>
        <w:rPr>
          <w:rFonts w:ascii="宋体" w:hAnsi="宋体" w:cs="宋体"/>
          <w:u w:val="single"/>
        </w:rPr>
        <w:t xml:space="preserve"> </w:t>
      </w:r>
      <w:r>
        <w:rPr>
          <w:rFonts w:hint="eastAsia" w:ascii="宋体" w:hAnsi="宋体" w:cs="宋体"/>
          <w:u w:val="single"/>
        </w:rPr>
        <w:t>项目名称：</w:t>
      </w:r>
      <w:r>
        <w:rPr>
          <w:rFonts w:ascii="宋体" w:hAnsi="宋体" w:cs="宋体"/>
          <w:u w:val="single"/>
        </w:rPr>
        <w:t xml:space="preserve">         </w:t>
      </w:r>
      <w:r>
        <w:rPr>
          <w:rFonts w:hint="eastAsia" w:ascii="宋体" w:hAnsi="宋体" w:cs="宋体"/>
        </w:rPr>
        <w:t>【项目编号：</w:t>
      </w:r>
      <w:r>
        <w:rPr>
          <w:rFonts w:ascii="宋体" w:hAnsi="宋体" w:cs="宋体"/>
          <w:u w:val="single"/>
        </w:rPr>
        <w:t xml:space="preserve">            </w:t>
      </w:r>
      <w:r>
        <w:rPr>
          <w:rFonts w:hint="eastAsia" w:ascii="宋体" w:hAnsi="宋体" w:cs="宋体"/>
        </w:rPr>
        <w:t>】活动中，无以下围标、串标行为。</w:t>
      </w:r>
    </w:p>
    <w:p>
      <w:pPr>
        <w:spacing w:line="360" w:lineRule="auto"/>
        <w:ind w:left="720" w:hanging="720"/>
        <w:rPr>
          <w:rFonts w:ascii="宋体" w:cs="Times New Roman"/>
        </w:rPr>
      </w:pPr>
      <w:r>
        <w:rPr>
          <w:rFonts w:ascii="宋体" w:hAnsi="宋体" w:cs="宋体"/>
        </w:rPr>
        <w:t xml:space="preserve">    1</w:t>
      </w:r>
      <w:r>
        <w:rPr>
          <w:rFonts w:hint="eastAsia" w:ascii="宋体" w:hAnsi="宋体" w:cs="宋体"/>
        </w:rPr>
        <w:t>）不同供应商的响应文件由同一单位或者个人编制；</w:t>
      </w:r>
    </w:p>
    <w:p>
      <w:pPr>
        <w:spacing w:line="360" w:lineRule="auto"/>
        <w:ind w:left="720" w:hanging="720"/>
        <w:rPr>
          <w:rFonts w:ascii="宋体" w:cs="Times New Roman"/>
        </w:rPr>
      </w:pPr>
      <w:r>
        <w:rPr>
          <w:rFonts w:ascii="宋体" w:hAnsi="宋体" w:cs="宋体"/>
        </w:rPr>
        <w:t xml:space="preserve">    2</w:t>
      </w:r>
      <w:r>
        <w:rPr>
          <w:rFonts w:hint="eastAsia" w:ascii="宋体" w:hAnsi="宋体" w:cs="宋体"/>
        </w:rPr>
        <w:t>）不同供应商委托同一单位或者个人办理投标报价事宜；</w:t>
      </w:r>
    </w:p>
    <w:p>
      <w:pPr>
        <w:spacing w:line="360" w:lineRule="auto"/>
        <w:ind w:left="720" w:hanging="720"/>
        <w:rPr>
          <w:rFonts w:ascii="宋体" w:cs="Times New Roman"/>
        </w:rPr>
      </w:pPr>
      <w:r>
        <w:rPr>
          <w:rFonts w:ascii="宋体" w:hAnsi="宋体" w:cs="宋体"/>
        </w:rPr>
        <w:t xml:space="preserve">    3</w:t>
      </w:r>
      <w:r>
        <w:rPr>
          <w:rFonts w:hint="eastAsia" w:ascii="宋体" w:hAnsi="宋体" w:cs="宋体"/>
        </w:rPr>
        <w:t>）不同供应商的响应文件载明的项目管理成员或者联系人员为同一人；</w:t>
      </w:r>
    </w:p>
    <w:p>
      <w:pPr>
        <w:spacing w:line="360" w:lineRule="auto"/>
        <w:ind w:left="720" w:hanging="720"/>
        <w:rPr>
          <w:rFonts w:ascii="宋体" w:cs="Times New Roman"/>
        </w:rPr>
      </w:pPr>
      <w:r>
        <w:rPr>
          <w:rFonts w:ascii="宋体" w:hAnsi="宋体" w:cs="宋体"/>
        </w:rPr>
        <w:t xml:space="preserve">    4</w:t>
      </w:r>
      <w:r>
        <w:rPr>
          <w:rFonts w:hint="eastAsia" w:ascii="宋体" w:hAnsi="宋体" w:cs="宋体"/>
        </w:rPr>
        <w:t>）不同供应商的响应文件异常一致或者报价呈规律性差异；</w:t>
      </w:r>
    </w:p>
    <w:p>
      <w:pPr>
        <w:spacing w:line="360" w:lineRule="auto"/>
        <w:ind w:left="720" w:hanging="720"/>
        <w:rPr>
          <w:rFonts w:ascii="宋体" w:cs="Times New Roman"/>
        </w:rPr>
      </w:pPr>
      <w:r>
        <w:rPr>
          <w:rFonts w:ascii="宋体" w:hAnsi="宋体" w:cs="宋体"/>
        </w:rPr>
        <w:t xml:space="preserve">    5</w:t>
      </w:r>
      <w:r>
        <w:rPr>
          <w:rFonts w:hint="eastAsia" w:ascii="宋体" w:hAnsi="宋体" w:cs="宋体"/>
        </w:rPr>
        <w:t>）不同供应商的响应文件相互混装；</w:t>
      </w:r>
    </w:p>
    <w:p>
      <w:pPr>
        <w:spacing w:line="360" w:lineRule="auto"/>
        <w:ind w:left="720" w:hanging="720"/>
        <w:rPr>
          <w:rFonts w:ascii="宋体" w:cs="Times New Roman"/>
        </w:rPr>
      </w:pPr>
      <w:r>
        <w:rPr>
          <w:rFonts w:ascii="宋体" w:hAnsi="宋体" w:cs="宋体"/>
        </w:rPr>
        <w:t xml:space="preserve">    6</w:t>
      </w:r>
      <w:r>
        <w:rPr>
          <w:rFonts w:hint="eastAsia" w:ascii="宋体" w:hAnsi="宋体" w:cs="宋体"/>
        </w:rPr>
        <w:t>）不同供应商的投标保证金从同一单位或者个人的账户转出。</w:t>
      </w:r>
    </w:p>
    <w:p>
      <w:pPr>
        <w:spacing w:line="360" w:lineRule="auto"/>
        <w:ind w:left="720" w:hanging="720"/>
        <w:rPr>
          <w:rFonts w:ascii="宋体" w:cs="Times New Roman"/>
        </w:rPr>
      </w:pPr>
      <w:r>
        <w:rPr>
          <w:rFonts w:ascii="宋体" w:hAnsi="宋体" w:cs="宋体"/>
        </w:rPr>
        <w:t xml:space="preserve">    7</w:t>
      </w:r>
      <w:r>
        <w:rPr>
          <w:rFonts w:hint="eastAsia" w:ascii="宋体" w:hAnsi="宋体" w:cs="宋体"/>
        </w:rPr>
        <w:t>）不同供应商的董事、监事、高管、单位负责人为同一人或者存在控股、管理关系的不同单位参加同一包组采购项目报价；</w:t>
      </w:r>
    </w:p>
    <w:p>
      <w:pPr>
        <w:spacing w:line="360" w:lineRule="auto"/>
        <w:ind w:left="720" w:hanging="720"/>
        <w:rPr>
          <w:rFonts w:ascii="宋体" w:cs="Times New Roman"/>
        </w:rPr>
      </w:pPr>
      <w:r>
        <w:rPr>
          <w:rFonts w:ascii="宋体" w:hAnsi="宋体" w:cs="宋体"/>
        </w:rPr>
        <w:t xml:space="preserve">    8</w:t>
      </w:r>
      <w:r>
        <w:rPr>
          <w:rFonts w:hint="eastAsia" w:ascii="宋体" w:hAnsi="宋体" w:cs="宋体"/>
        </w:rPr>
        <w:t>）法律法规界定的其他围标串标行为。</w:t>
      </w:r>
    </w:p>
    <w:p>
      <w:pPr>
        <w:spacing w:line="360" w:lineRule="auto"/>
        <w:ind w:left="720" w:hanging="720"/>
        <w:rPr>
          <w:rFonts w:ascii="宋体" w:cs="Times New Roman"/>
        </w:rPr>
      </w:pPr>
    </w:p>
    <w:p>
      <w:pPr>
        <w:spacing w:line="360" w:lineRule="auto"/>
        <w:ind w:firstLine="420" w:firstLineChars="200"/>
        <w:rPr>
          <w:rFonts w:ascii="宋体" w:cs="Times New Roman"/>
        </w:rPr>
      </w:pPr>
      <w:r>
        <w:rPr>
          <w:rFonts w:hint="eastAsia" w:ascii="宋体" w:hAnsi="宋体" w:cs="宋体"/>
        </w:rPr>
        <w:t>如有发现我公司存在围标、串标行为，我公司愿承担一切法律责任。</w:t>
      </w:r>
    </w:p>
    <w:p>
      <w:pPr>
        <w:spacing w:line="360" w:lineRule="auto"/>
        <w:ind w:firstLine="420" w:firstLineChars="200"/>
        <w:rPr>
          <w:rFonts w:ascii="宋体" w:cs="Times New Roman"/>
        </w:rPr>
      </w:pPr>
      <w:r>
        <w:rPr>
          <w:rFonts w:hint="eastAsia" w:ascii="宋体" w:hAnsi="宋体" w:cs="宋体"/>
        </w:rPr>
        <w:t>特此承诺。</w:t>
      </w:r>
    </w:p>
    <w:p>
      <w:pPr>
        <w:rPr>
          <w:rFonts w:cs="Times New Roman"/>
        </w:rPr>
      </w:pPr>
    </w:p>
    <w:p>
      <w:pPr>
        <w:spacing w:line="480" w:lineRule="auto"/>
        <w:rPr>
          <w:rFonts w:cs="Times New Roman"/>
        </w:rPr>
      </w:pPr>
    </w:p>
    <w:p>
      <w:pPr>
        <w:spacing w:line="480" w:lineRule="auto"/>
      </w:pPr>
      <w:r>
        <w:rPr>
          <w:rFonts w:hint="eastAsia" w:cs="宋体"/>
        </w:rPr>
        <w:t>供应商法定代表人（或法定代表人授权代表）签字或盖私章：</w:t>
      </w:r>
      <w:r>
        <w:t xml:space="preserve">                   </w:t>
      </w:r>
    </w:p>
    <w:p>
      <w:pPr>
        <w:spacing w:line="480" w:lineRule="auto"/>
      </w:pPr>
      <w:r>
        <w:rPr>
          <w:rFonts w:hint="eastAsia" w:cs="宋体"/>
        </w:rPr>
        <w:t>供应商名称（盖公章）：</w:t>
      </w:r>
      <w:r>
        <w:t xml:space="preserve">                        </w:t>
      </w:r>
    </w:p>
    <w:p>
      <w:pPr>
        <w:spacing w:line="480" w:lineRule="auto"/>
        <w:rPr>
          <w:rFonts w:cs="Times New Roman"/>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rPr>
          <w:rFonts w:ascii="宋体" w:hAnsi="宋体" w:cs="宋体"/>
        </w:rPr>
      </w:pPr>
    </w:p>
    <w:p>
      <w:pPr>
        <w:numPr>
          <w:ilvl w:val="0"/>
          <w:numId w:val="5"/>
        </w:numPr>
        <w:spacing w:line="400" w:lineRule="exact"/>
        <w:rPr>
          <w:rFonts w:ascii="黑体" w:hAnsi="Times New Roman" w:eastAsia="黑体" w:cs="黑体"/>
          <w:sz w:val="28"/>
          <w:szCs w:val="28"/>
        </w:rPr>
      </w:pPr>
    </w:p>
    <w:p>
      <w:pPr>
        <w:pStyle w:val="4"/>
        <w:keepLines w:val="0"/>
        <w:tabs>
          <w:tab w:val="left" w:pos="851"/>
        </w:tabs>
        <w:spacing w:before="0" w:after="0" w:line="360" w:lineRule="auto"/>
        <w:ind w:left="284"/>
        <w:jc w:val="center"/>
        <w:rPr>
          <w:rFonts w:ascii="宋体" w:hAnsi="宋体" w:eastAsia="宋体"/>
        </w:rPr>
      </w:pPr>
      <w:r>
        <w:rPr>
          <w:rFonts w:hint="eastAsia" w:ascii="宋体" w:hAnsi="宋体" w:eastAsia="宋体" w:cs="宋体"/>
        </w:rPr>
        <w:t>法定代表人证明书、法定代表人授权书</w:t>
      </w:r>
    </w:p>
    <w:p>
      <w:pPr>
        <w:ind w:firstLine="632" w:firstLineChars="300"/>
        <w:rPr>
          <w:rFonts w:ascii="宋体" w:cs="Times New Roman"/>
          <w:b/>
          <w:bCs/>
        </w:rPr>
      </w:pPr>
    </w:p>
    <w:p>
      <w:pPr>
        <w:ind w:firstLine="632" w:firstLineChars="300"/>
        <w:rPr>
          <w:rFonts w:cs="Times New Roman"/>
        </w:rPr>
      </w:pPr>
      <w:r>
        <w:rPr>
          <w:rFonts w:hint="eastAsia" w:ascii="宋体" w:hAnsi="宋体" w:cs="宋体"/>
          <w:b/>
          <w:bCs/>
        </w:rPr>
        <w:t>法定代表人证明书和法定代表人授权书按以下格式填写，如由法定代表人询价报价并签署响应文件，需提供法定代表人证明书，否则需提供法定代表人证明书和法定代表人授权书。</w:t>
      </w:r>
    </w:p>
    <w:p>
      <w:pPr>
        <w:rPr>
          <w:rFonts w:ascii="宋体" w:cs="Times New Roman"/>
        </w:rPr>
      </w:pPr>
    </w:p>
    <w:p>
      <w:pPr>
        <w:widowControl/>
        <w:jc w:val="center"/>
        <w:rPr>
          <w:rFonts w:cs="Times New Roman"/>
        </w:rPr>
      </w:pPr>
      <w:bookmarkStart w:id="92" w:name="_Toc20491"/>
      <w:r>
        <w:rPr>
          <w:rFonts w:hint="eastAsia" w:ascii="黑体" w:hAnsi="宋体" w:eastAsia="黑体" w:cs="黑体"/>
          <w:color w:val="000000"/>
          <w:kern w:val="0"/>
          <w:sz w:val="31"/>
          <w:szCs w:val="31"/>
        </w:rPr>
        <w:t>法定代表人证明书</w:t>
      </w:r>
    </w:p>
    <w:p>
      <w:pPr>
        <w:widowControl/>
        <w:spacing w:line="360" w:lineRule="auto"/>
        <w:ind w:firstLine="1050" w:firstLineChars="500"/>
        <w:jc w:val="left"/>
        <w:rPr>
          <w:rFonts w:cs="Times New Roman"/>
        </w:rPr>
      </w:pPr>
      <w:r>
        <w:rPr>
          <w:rFonts w:ascii="宋体" w:hAnsi="宋体" w:cs="宋体"/>
          <w:color w:val="000000"/>
          <w:kern w:val="0"/>
        </w:rPr>
        <w:t>______________</w:t>
      </w:r>
      <w:r>
        <w:rPr>
          <w:rFonts w:hint="eastAsia" w:ascii="宋体" w:hAnsi="宋体" w:cs="宋体"/>
          <w:color w:val="000000"/>
          <w:kern w:val="0"/>
        </w:rPr>
        <w:t>同志，现任我单位</w:t>
      </w:r>
      <w:r>
        <w:rPr>
          <w:rFonts w:ascii="宋体" w:hAnsi="宋体" w:cs="宋体"/>
          <w:color w:val="000000"/>
          <w:kern w:val="0"/>
          <w:u w:val="single"/>
        </w:rPr>
        <w:t xml:space="preserve">        </w:t>
      </w:r>
      <w:r>
        <w:rPr>
          <w:rFonts w:hint="eastAsia" w:ascii="宋体" w:hAnsi="宋体" w:cs="宋体"/>
          <w:color w:val="000000"/>
          <w:kern w:val="0"/>
        </w:rPr>
        <w:t>职务，为法定代表人，特此证明。</w:t>
      </w:r>
      <w:r>
        <w:rPr>
          <w:rFonts w:ascii="宋体" w:hAnsi="宋体" w:cs="宋体"/>
          <w:color w:val="000000"/>
          <w:kern w:val="0"/>
        </w:rPr>
        <w:t xml:space="preserve"> </w:t>
      </w:r>
    </w:p>
    <w:p>
      <w:pPr>
        <w:widowControl/>
        <w:spacing w:line="360" w:lineRule="auto"/>
        <w:ind w:firstLine="630" w:firstLineChars="300"/>
        <w:jc w:val="left"/>
        <w:rPr>
          <w:rFonts w:cs="Times New Roman"/>
        </w:rPr>
      </w:pPr>
      <w:r>
        <w:rPr>
          <w:rFonts w:hint="eastAsia" w:ascii="宋体" w:hAnsi="宋体" w:cs="宋体"/>
          <w:color w:val="000000"/>
          <w:kern w:val="0"/>
        </w:rPr>
        <w:t>本证明书自签发之日起生效，有效期与本公司响应文件成交注的投标有效期相同。</w:t>
      </w:r>
      <w:r>
        <w:rPr>
          <w:rFonts w:ascii="宋体" w:hAnsi="宋体" w:cs="宋体"/>
          <w:color w:val="000000"/>
          <w:kern w:val="0"/>
        </w:rPr>
        <w:t xml:space="preserve"> </w:t>
      </w:r>
    </w:p>
    <w:p>
      <w:pPr>
        <w:widowControl/>
        <w:spacing w:line="360" w:lineRule="auto"/>
        <w:ind w:firstLine="636" w:firstLineChars="303"/>
        <w:jc w:val="left"/>
        <w:rPr>
          <w:rFonts w:cs="Times New Roman"/>
        </w:rPr>
      </w:pPr>
      <w:r>
        <w:rPr>
          <w:rFonts w:hint="eastAsia" w:ascii="宋体" w:hAnsi="宋体" w:cs="宋体"/>
          <w:color w:val="000000"/>
          <w:kern w:val="0"/>
        </w:rPr>
        <w:t>附：</w:t>
      </w:r>
      <w:r>
        <w:rPr>
          <w:rFonts w:ascii="宋体" w:hAnsi="宋体" w:cs="宋体"/>
          <w:color w:val="000000"/>
          <w:kern w:val="0"/>
        </w:rPr>
        <w:t xml:space="preserve"> </w:t>
      </w:r>
    </w:p>
    <w:p>
      <w:pPr>
        <w:widowControl/>
        <w:spacing w:line="360" w:lineRule="auto"/>
        <w:ind w:firstLine="636" w:firstLineChars="303"/>
        <w:jc w:val="left"/>
        <w:rPr>
          <w:rFonts w:cs="Times New Roman"/>
        </w:rPr>
      </w:pPr>
      <w:r>
        <w:rPr>
          <w:rFonts w:hint="eastAsia" w:ascii="宋体" w:hAnsi="宋体" w:cs="宋体"/>
          <w:color w:val="000000"/>
          <w:kern w:val="0"/>
        </w:rPr>
        <w:t>营业执照（注册号）：</w:t>
      </w:r>
      <w:r>
        <w:rPr>
          <w:rFonts w:ascii="宋体" w:hAnsi="宋体" w:cs="宋体"/>
          <w:color w:val="000000"/>
          <w:kern w:val="0"/>
        </w:rPr>
        <w:t xml:space="preserve"> </w:t>
      </w:r>
    </w:p>
    <w:p>
      <w:pPr>
        <w:widowControl/>
        <w:spacing w:line="360" w:lineRule="auto"/>
        <w:ind w:firstLine="636" w:firstLineChars="303"/>
        <w:jc w:val="left"/>
        <w:rPr>
          <w:rFonts w:cs="Times New Roman"/>
        </w:rPr>
      </w:pPr>
      <w:r>
        <w:rPr>
          <w:rFonts w:hint="eastAsia" w:ascii="宋体" w:hAnsi="宋体" w:cs="宋体"/>
          <w:color w:val="000000"/>
          <w:kern w:val="0"/>
        </w:rPr>
        <w:t>经济性质：</w:t>
      </w:r>
      <w:r>
        <w:rPr>
          <w:rFonts w:ascii="宋体" w:hAnsi="宋体" w:cs="宋体"/>
          <w:color w:val="000000"/>
          <w:kern w:val="0"/>
        </w:rPr>
        <w:t xml:space="preserve"> </w:t>
      </w:r>
    </w:p>
    <w:p>
      <w:pPr>
        <w:widowControl/>
        <w:spacing w:line="360" w:lineRule="auto"/>
        <w:ind w:firstLine="636" w:firstLineChars="303"/>
        <w:jc w:val="left"/>
        <w:rPr>
          <w:rFonts w:cs="Times New Roman"/>
        </w:rPr>
      </w:pPr>
      <w:r>
        <w:rPr>
          <w:rFonts w:hint="eastAsia" w:ascii="宋体" w:hAnsi="宋体" w:cs="宋体"/>
          <w:color w:val="000000"/>
          <w:kern w:val="0"/>
        </w:rPr>
        <w:t>主营（产）：</w:t>
      </w:r>
      <w:r>
        <w:rPr>
          <w:rFonts w:ascii="宋体" w:hAnsi="宋体" w:cs="宋体"/>
          <w:color w:val="000000"/>
          <w:kern w:val="0"/>
        </w:rPr>
        <w:t xml:space="preserve"> </w:t>
      </w:r>
    </w:p>
    <w:p>
      <w:pPr>
        <w:widowControl/>
        <w:spacing w:line="360" w:lineRule="auto"/>
        <w:ind w:firstLine="636" w:firstLineChars="303"/>
        <w:jc w:val="left"/>
        <w:rPr>
          <w:rFonts w:cs="Times New Roman"/>
        </w:rPr>
      </w:pPr>
      <w:r>
        <w:rPr>
          <w:rFonts w:hint="eastAsia" w:ascii="宋体" w:hAnsi="宋体" w:cs="宋体"/>
          <w:color w:val="000000"/>
          <w:kern w:val="0"/>
        </w:rPr>
        <w:t>兼营（产）：</w:t>
      </w:r>
    </w:p>
    <w:tbl>
      <w:tblPr>
        <w:tblStyle w:val="35"/>
        <w:tblpPr w:leftFromText="180" w:rightFromText="180" w:vertAnchor="text" w:horzAnchor="page" w:tblpX="1584" w:tblpY="459"/>
        <w:tblOverlap w:val="never"/>
        <w:tblW w:w="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4154" w:type="dxa"/>
          </w:tcPr>
          <w:p>
            <w:pPr>
              <w:spacing w:line="500" w:lineRule="exact"/>
              <w:ind w:left="-359" w:leftChars="-171"/>
              <w:rPr>
                <w:rFonts w:ascii="宋体" w:cs="Times New Roman"/>
              </w:rPr>
            </w:pPr>
          </w:p>
          <w:p>
            <w:pPr>
              <w:spacing w:line="360" w:lineRule="auto"/>
              <w:ind w:left="-359" w:leftChars="-171"/>
              <w:jc w:val="center"/>
              <w:rPr>
                <w:rFonts w:ascii="宋体" w:cs="Times New Roman"/>
              </w:rPr>
            </w:pPr>
            <w:r>
              <w:rPr>
                <w:rFonts w:hint="eastAsia" w:ascii="宋体" w:hAnsi="宋体" w:cs="宋体"/>
              </w:rPr>
              <w:t>法定代表人</w:t>
            </w:r>
          </w:p>
          <w:p>
            <w:pPr>
              <w:spacing w:line="360" w:lineRule="auto"/>
              <w:ind w:left="-359" w:leftChars="-171"/>
              <w:jc w:val="center"/>
              <w:rPr>
                <w:rFonts w:ascii="宋体" w:cs="Times New Roman"/>
              </w:rPr>
            </w:pPr>
            <w:r>
              <w:rPr>
                <w:rFonts w:hint="eastAsia" w:ascii="宋体" w:hAnsi="宋体" w:cs="宋体"/>
              </w:rPr>
              <w:t>有效居民身份证复印件粘贴处</w:t>
            </w:r>
          </w:p>
          <w:p>
            <w:pPr>
              <w:spacing w:line="360" w:lineRule="auto"/>
              <w:ind w:left="-359" w:leftChars="-171"/>
              <w:jc w:val="center"/>
              <w:rPr>
                <w:rFonts w:ascii="宋体" w:cs="Times New Roman"/>
              </w:rPr>
            </w:pPr>
            <w:r>
              <w:rPr>
                <w:rFonts w:hint="eastAsia" w:ascii="宋体" w:hAnsi="宋体" w:cs="宋体"/>
              </w:rPr>
              <w:t>（正面）</w:t>
            </w:r>
          </w:p>
        </w:tc>
      </w:tr>
    </w:tbl>
    <w:p>
      <w:pPr>
        <w:rPr>
          <w:vanish/>
        </w:rPr>
      </w:pPr>
    </w:p>
    <w:tbl>
      <w:tblPr>
        <w:tblStyle w:val="35"/>
        <w:tblpPr w:leftFromText="180" w:rightFromText="180" w:vertAnchor="text" w:horzAnchor="page" w:tblpX="6219" w:tblpY="450"/>
        <w:tblOverlap w:val="never"/>
        <w:tblW w:w="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4154" w:type="dxa"/>
          </w:tcPr>
          <w:p>
            <w:pPr>
              <w:spacing w:line="500" w:lineRule="exact"/>
              <w:ind w:left="-359" w:leftChars="-171"/>
              <w:rPr>
                <w:rFonts w:ascii="宋体" w:cs="Times New Roman"/>
              </w:rPr>
            </w:pPr>
          </w:p>
          <w:p>
            <w:pPr>
              <w:spacing w:line="360" w:lineRule="auto"/>
              <w:ind w:left="-359" w:leftChars="-171"/>
              <w:jc w:val="center"/>
              <w:rPr>
                <w:rFonts w:ascii="宋体" w:cs="Times New Roman"/>
              </w:rPr>
            </w:pPr>
            <w:r>
              <w:rPr>
                <w:rFonts w:hint="eastAsia" w:ascii="宋体" w:hAnsi="宋体" w:cs="宋体"/>
              </w:rPr>
              <w:t>法定代表人</w:t>
            </w:r>
          </w:p>
          <w:p>
            <w:pPr>
              <w:spacing w:line="360" w:lineRule="auto"/>
              <w:ind w:left="-359" w:leftChars="-171"/>
              <w:jc w:val="center"/>
              <w:rPr>
                <w:rFonts w:ascii="宋体" w:cs="Times New Roman"/>
              </w:rPr>
            </w:pPr>
            <w:r>
              <w:rPr>
                <w:rFonts w:hint="eastAsia" w:ascii="宋体" w:hAnsi="宋体" w:cs="宋体"/>
              </w:rPr>
              <w:t>有效居民身份证复印件粘贴处</w:t>
            </w:r>
          </w:p>
          <w:p>
            <w:pPr>
              <w:spacing w:line="360" w:lineRule="auto"/>
              <w:ind w:left="-359" w:leftChars="-171"/>
              <w:jc w:val="center"/>
              <w:rPr>
                <w:rFonts w:ascii="宋体" w:cs="Times New Roman"/>
              </w:rPr>
            </w:pPr>
            <w:r>
              <w:rPr>
                <w:rFonts w:hint="eastAsia" w:ascii="宋体" w:hAnsi="宋体" w:cs="宋体"/>
              </w:rPr>
              <w:t>（反面）</w:t>
            </w:r>
          </w:p>
        </w:tc>
      </w:tr>
    </w:tbl>
    <w:p>
      <w:pPr>
        <w:pStyle w:val="9"/>
        <w:spacing w:line="600" w:lineRule="exact"/>
        <w:ind w:firstLine="422"/>
        <w:rPr>
          <w:rFonts w:ascii="宋体" w:cs="Times New Roman"/>
          <w:b/>
          <w:bCs/>
        </w:rPr>
      </w:pPr>
    </w:p>
    <w:p>
      <w:pPr>
        <w:pStyle w:val="15"/>
        <w:rPr>
          <w:rFonts w:ascii="宋体"/>
          <w:sz w:val="32"/>
          <w:szCs w:val="32"/>
        </w:rPr>
      </w:pPr>
    </w:p>
    <w:p/>
    <w:p>
      <w:pPr>
        <w:pStyle w:val="15"/>
        <w:rPr>
          <w:rFonts w:ascii="宋体"/>
          <w:sz w:val="32"/>
          <w:szCs w:val="32"/>
        </w:rPr>
      </w:pPr>
    </w:p>
    <w:p>
      <w:pPr>
        <w:widowControl/>
        <w:spacing w:line="360" w:lineRule="auto"/>
        <w:ind w:firstLine="636" w:firstLineChars="303"/>
        <w:jc w:val="left"/>
        <w:rPr>
          <w:rFonts w:cs="Times New Roman"/>
        </w:rPr>
      </w:pPr>
      <w:r>
        <w:rPr>
          <w:rFonts w:hint="eastAsia" w:ascii="宋体" w:hAnsi="宋体" w:cs="宋体"/>
          <w:color w:val="000000"/>
          <w:kern w:val="0"/>
        </w:rPr>
        <w:t>供应商名称（单位盖公章）：</w:t>
      </w:r>
      <w:r>
        <w:rPr>
          <w:rFonts w:ascii="宋体" w:hAnsi="宋体" w:cs="宋体"/>
          <w:color w:val="000000"/>
          <w:kern w:val="0"/>
        </w:rPr>
        <w:t xml:space="preserve"> </w:t>
      </w:r>
    </w:p>
    <w:p>
      <w:pPr>
        <w:widowControl/>
        <w:spacing w:line="360" w:lineRule="auto"/>
        <w:ind w:firstLine="636" w:firstLineChars="303"/>
        <w:jc w:val="left"/>
        <w:rPr>
          <w:rFonts w:cs="Times New Roman"/>
        </w:rPr>
      </w:pPr>
      <w:r>
        <w:rPr>
          <w:rFonts w:hint="eastAsia" w:ascii="宋体" w:hAnsi="宋体" w:cs="宋体"/>
          <w:color w:val="000000"/>
          <w:kern w:val="0"/>
        </w:rPr>
        <w:t>地址：</w:t>
      </w:r>
      <w:r>
        <w:rPr>
          <w:rFonts w:ascii="宋体" w:hAnsi="宋体" w:cs="宋体"/>
          <w:color w:val="000000"/>
          <w:kern w:val="0"/>
        </w:rPr>
        <w:t xml:space="preserve"> </w:t>
      </w:r>
    </w:p>
    <w:p>
      <w:pPr>
        <w:widowControl/>
        <w:spacing w:line="360" w:lineRule="auto"/>
        <w:ind w:firstLine="636" w:firstLineChars="303"/>
        <w:jc w:val="left"/>
        <w:rPr>
          <w:rFonts w:cs="Times New Roman"/>
        </w:rPr>
      </w:pPr>
      <w:r>
        <w:rPr>
          <w:rFonts w:hint="eastAsia" w:ascii="宋体" w:hAnsi="宋体" w:cs="宋体"/>
          <w:color w:val="000000"/>
          <w:kern w:val="0"/>
        </w:rPr>
        <w:t>签发日期：</w:t>
      </w:r>
      <w:r>
        <w:rPr>
          <w:rFonts w:ascii="宋体" w:hAnsi="宋体" w:cs="宋体"/>
          <w:color w:val="000000"/>
          <w:kern w:val="0"/>
        </w:rPr>
        <w:t xml:space="preserve"> </w:t>
      </w:r>
    </w:p>
    <w:p>
      <w:pPr>
        <w:rPr>
          <w:lang w:val="zh-CN"/>
        </w:rPr>
      </w:pPr>
    </w:p>
    <w:p>
      <w:pPr>
        <w:rPr>
          <w:lang w:val="zh-CN"/>
        </w:rPr>
      </w:pPr>
    </w:p>
    <w:p>
      <w:pPr>
        <w:rPr>
          <w:lang w:val="zh-CN"/>
        </w:rPr>
      </w:pPr>
    </w:p>
    <w:p>
      <w:pPr>
        <w:rPr>
          <w:rFonts w:cs="Times New Roman"/>
        </w:rPr>
      </w:pPr>
    </w:p>
    <w:p>
      <w:pPr>
        <w:pStyle w:val="3"/>
        <w:spacing w:line="360" w:lineRule="auto"/>
        <w:jc w:val="center"/>
        <w:rPr>
          <w:rFonts w:ascii="宋体"/>
        </w:rPr>
      </w:pPr>
      <w:bookmarkStart w:id="93" w:name="_Toc24361"/>
      <w:r>
        <w:rPr>
          <w:rFonts w:hint="eastAsia" w:ascii="宋体" w:hAnsi="宋体" w:cs="宋体"/>
          <w:sz w:val="32"/>
          <w:szCs w:val="32"/>
        </w:rPr>
        <w:t>法定代表人授权委托书</w:t>
      </w:r>
      <w:bookmarkEnd w:id="92"/>
      <w:bookmarkEnd w:id="93"/>
    </w:p>
    <w:p>
      <w:pPr>
        <w:spacing w:line="360" w:lineRule="auto"/>
        <w:rPr>
          <w:rFonts w:ascii="宋体" w:cs="Times New Roman"/>
        </w:rPr>
      </w:pPr>
      <w:r>
        <w:rPr>
          <w:rFonts w:hint="eastAsia" w:ascii="宋体" w:hAnsi="宋体" w:cs="宋体"/>
        </w:rPr>
        <w:t>致：广西南宁技师学院</w:t>
      </w:r>
    </w:p>
    <w:p>
      <w:pPr>
        <w:widowControl/>
        <w:spacing w:line="360" w:lineRule="auto"/>
        <w:ind w:firstLine="420" w:firstLineChars="200"/>
        <w:jc w:val="left"/>
        <w:rPr>
          <w:rFonts w:cs="Times New Roman"/>
        </w:rPr>
      </w:pPr>
      <w:r>
        <w:rPr>
          <w:rFonts w:hint="eastAsia" w:ascii="宋体" w:hAnsi="宋体" w:cs="宋体"/>
          <w:color w:val="000000"/>
          <w:kern w:val="0"/>
        </w:rPr>
        <w:t>本授权委托书声明：注册于</w:t>
      </w:r>
      <w:r>
        <w:rPr>
          <w:rFonts w:ascii="宋体" w:hAnsi="宋体" w:cs="宋体"/>
          <w:color w:val="000000"/>
          <w:kern w:val="0"/>
          <w:u w:val="single"/>
        </w:rPr>
        <w:t xml:space="preserve"> </w:t>
      </w:r>
      <w:r>
        <w:rPr>
          <w:rFonts w:hint="eastAsia" w:ascii="宋体" w:hAnsi="宋体" w:cs="宋体"/>
          <w:color w:val="000000"/>
          <w:kern w:val="0"/>
          <w:u w:val="single"/>
        </w:rPr>
        <w:t>（供应商地址）</w:t>
      </w:r>
      <w:r>
        <w:rPr>
          <w:rFonts w:ascii="宋体" w:hAnsi="宋体" w:cs="宋体"/>
          <w:color w:val="000000"/>
          <w:kern w:val="0"/>
          <w:u w:val="single"/>
        </w:rPr>
        <w:t xml:space="preserve"> </w:t>
      </w:r>
      <w:r>
        <w:rPr>
          <w:rFonts w:hint="eastAsia" w:ascii="宋体" w:hAnsi="宋体" w:cs="宋体"/>
          <w:color w:val="000000"/>
          <w:kern w:val="0"/>
        </w:rPr>
        <w:t>的</w:t>
      </w:r>
      <w:r>
        <w:rPr>
          <w:rFonts w:ascii="宋体" w:hAnsi="宋体" w:cs="宋体"/>
          <w:color w:val="000000"/>
          <w:kern w:val="0"/>
          <w:u w:val="single"/>
        </w:rPr>
        <w:t xml:space="preserve"> </w:t>
      </w:r>
      <w:r>
        <w:rPr>
          <w:rFonts w:hint="eastAsia" w:ascii="宋体" w:hAnsi="宋体" w:cs="宋体"/>
          <w:color w:val="000000"/>
          <w:kern w:val="0"/>
          <w:u w:val="single"/>
        </w:rPr>
        <w:t>（单位名称）</w:t>
      </w:r>
      <w:r>
        <w:rPr>
          <w:rFonts w:ascii="宋体" w:hAnsi="宋体" w:cs="宋体"/>
          <w:color w:val="000000"/>
          <w:kern w:val="0"/>
          <w:u w:val="single"/>
        </w:rPr>
        <w:t xml:space="preserve"> </w:t>
      </w:r>
      <w:r>
        <w:rPr>
          <w:rFonts w:hint="eastAsia" w:ascii="宋体" w:hAnsi="宋体" w:cs="宋体"/>
          <w:color w:val="000000"/>
          <w:kern w:val="0"/>
        </w:rPr>
        <w:t>在下面签名的</w:t>
      </w:r>
      <w:r>
        <w:rPr>
          <w:rFonts w:hint="eastAsia" w:ascii="宋体" w:hAnsi="宋体" w:cs="宋体"/>
          <w:color w:val="000000"/>
          <w:kern w:val="0"/>
          <w:u w:val="single"/>
        </w:rPr>
        <w:t>（法定代表人姓名、职务）</w:t>
      </w:r>
      <w:r>
        <w:rPr>
          <w:rFonts w:hint="eastAsia" w:ascii="宋体" w:hAnsi="宋体" w:cs="宋体"/>
          <w:color w:val="000000"/>
          <w:kern w:val="0"/>
        </w:rPr>
        <w:t>在此授权</w:t>
      </w:r>
      <w:r>
        <w:rPr>
          <w:rFonts w:hint="eastAsia" w:ascii="宋体" w:hAnsi="宋体" w:cs="宋体"/>
          <w:color w:val="000000"/>
          <w:kern w:val="0"/>
          <w:u w:val="single"/>
        </w:rPr>
        <w:t>（被授权人姓名、职务）</w:t>
      </w:r>
      <w:r>
        <w:rPr>
          <w:rFonts w:hint="eastAsia" w:ascii="宋体" w:hAnsi="宋体" w:cs="宋体"/>
          <w:color w:val="000000"/>
          <w:kern w:val="0"/>
        </w:rPr>
        <w:t>作为我公司的合法代理人，就</w:t>
      </w:r>
      <w:r>
        <w:rPr>
          <w:rFonts w:hint="eastAsia" w:ascii="宋体" w:hAnsi="宋体" w:cs="宋体"/>
          <w:color w:val="000000"/>
          <w:kern w:val="0"/>
          <w:u w:val="single"/>
        </w:rPr>
        <w:t>（项目名称、项目编号）</w:t>
      </w:r>
      <w:r>
        <w:rPr>
          <w:rFonts w:hint="eastAsia" w:ascii="宋体" w:hAnsi="宋体" w:cs="宋体"/>
          <w:color w:val="000000"/>
          <w:kern w:val="0"/>
        </w:rPr>
        <w:t>的招投标活动，采购合同的签订、执行、完成和售后服务，作为供应商代表以我方的名义处理一切与之有关的事务。</w:t>
      </w:r>
      <w:r>
        <w:rPr>
          <w:rFonts w:ascii="宋体" w:hAnsi="宋体" w:cs="宋体"/>
          <w:color w:val="000000"/>
          <w:kern w:val="0"/>
        </w:rPr>
        <w:t xml:space="preserve"> </w:t>
      </w:r>
    </w:p>
    <w:p>
      <w:pPr>
        <w:widowControl/>
        <w:spacing w:line="360" w:lineRule="auto"/>
        <w:ind w:firstLine="420" w:firstLineChars="200"/>
        <w:jc w:val="left"/>
        <w:rPr>
          <w:rFonts w:cs="Times New Roman"/>
        </w:rPr>
      </w:pPr>
      <w:r>
        <w:rPr>
          <w:rFonts w:hint="eastAsia" w:ascii="宋体" w:hAnsi="宋体" w:cs="宋体"/>
          <w:color w:val="000000"/>
          <w:kern w:val="0"/>
        </w:rPr>
        <w:t>被授权人（供应商授权代表）无转委托权限。</w:t>
      </w:r>
      <w:r>
        <w:rPr>
          <w:rFonts w:ascii="宋体" w:hAnsi="宋体" w:cs="宋体"/>
          <w:color w:val="000000"/>
          <w:kern w:val="0"/>
        </w:rPr>
        <w:t xml:space="preserve"> </w:t>
      </w:r>
    </w:p>
    <w:p>
      <w:pPr>
        <w:widowControl/>
        <w:spacing w:line="360" w:lineRule="auto"/>
        <w:ind w:firstLine="420" w:firstLineChars="200"/>
        <w:jc w:val="left"/>
        <w:rPr>
          <w:rFonts w:ascii="宋体" w:cs="Times New Roman"/>
          <w:color w:val="000000"/>
          <w:kern w:val="0"/>
        </w:rPr>
      </w:pPr>
      <w:r>
        <w:rPr>
          <w:rFonts w:hint="eastAsia" w:ascii="宋体" w:hAnsi="宋体" w:cs="宋体"/>
          <w:color w:val="000000"/>
          <w:kern w:val="0"/>
        </w:rPr>
        <w:t>本授权书自法定代表人签字之日起生效，特此声明。</w:t>
      </w:r>
      <w:r>
        <w:rPr>
          <w:rFonts w:ascii="宋体" w:hAnsi="宋体" w:cs="宋体"/>
          <w:color w:val="000000"/>
          <w:kern w:val="0"/>
        </w:rPr>
        <w:t xml:space="preserve"> </w:t>
      </w:r>
    </w:p>
    <w:p>
      <w:pPr>
        <w:pStyle w:val="2"/>
        <w:ind w:firstLine="210"/>
      </w:pPr>
    </w:p>
    <w:p>
      <w:pPr>
        <w:widowControl/>
        <w:spacing w:line="360" w:lineRule="auto"/>
        <w:jc w:val="left"/>
        <w:rPr>
          <w:rFonts w:cs="Times New Roman"/>
          <w:b/>
          <w:bCs/>
        </w:rPr>
      </w:pPr>
      <w:r>
        <w:rPr>
          <w:rFonts w:hint="eastAsia" w:ascii="宋体" w:hAnsi="宋体" w:cs="宋体"/>
          <w:b/>
          <w:bCs/>
          <w:color w:val="000000"/>
          <w:kern w:val="0"/>
        </w:rPr>
        <w:t>供应商名称（单位盖公章）：</w:t>
      </w:r>
      <w:r>
        <w:rPr>
          <w:rFonts w:ascii="宋体" w:hAnsi="宋体" w:cs="宋体"/>
          <w:b/>
          <w:bCs/>
          <w:color w:val="000000"/>
          <w:kern w:val="0"/>
        </w:rPr>
        <w:t xml:space="preserve"> </w:t>
      </w:r>
    </w:p>
    <w:p>
      <w:pPr>
        <w:widowControl/>
        <w:spacing w:line="360" w:lineRule="auto"/>
        <w:jc w:val="left"/>
        <w:rPr>
          <w:rFonts w:cs="Times New Roman"/>
        </w:rPr>
      </w:pPr>
      <w:r>
        <w:rPr>
          <w:rFonts w:hint="eastAsia" w:ascii="宋体" w:hAnsi="宋体" w:cs="宋体"/>
          <w:color w:val="000000"/>
          <w:kern w:val="0"/>
        </w:rPr>
        <w:t>地</w:t>
      </w:r>
      <w:r>
        <w:rPr>
          <w:rFonts w:ascii="宋体" w:hAnsi="宋体" w:cs="宋体"/>
          <w:color w:val="000000"/>
          <w:kern w:val="0"/>
        </w:rPr>
        <w:t xml:space="preserve"> </w:t>
      </w:r>
      <w:r>
        <w:rPr>
          <w:rFonts w:hint="eastAsia" w:ascii="宋体" w:hAnsi="宋体" w:cs="宋体"/>
          <w:color w:val="000000"/>
          <w:kern w:val="0"/>
        </w:rPr>
        <w:t>址：</w:t>
      </w:r>
      <w:r>
        <w:rPr>
          <w:rFonts w:ascii="宋体" w:hAnsi="宋体" w:cs="宋体"/>
          <w:color w:val="000000"/>
          <w:kern w:val="0"/>
        </w:rPr>
        <w:t xml:space="preserve"> </w:t>
      </w:r>
    </w:p>
    <w:p>
      <w:pPr>
        <w:widowControl/>
        <w:spacing w:line="360" w:lineRule="auto"/>
        <w:jc w:val="left"/>
        <w:rPr>
          <w:rFonts w:ascii="宋体" w:cs="Times New Roman"/>
          <w:color w:val="000000"/>
          <w:kern w:val="0"/>
        </w:rPr>
      </w:pPr>
    </w:p>
    <w:p>
      <w:pPr>
        <w:widowControl/>
        <w:spacing w:line="360" w:lineRule="auto"/>
        <w:jc w:val="left"/>
        <w:rPr>
          <w:rFonts w:ascii="宋体" w:cs="Times New Roman"/>
          <w:b/>
          <w:bCs/>
          <w:color w:val="000000"/>
          <w:kern w:val="0"/>
        </w:rPr>
      </w:pPr>
      <w:r>
        <w:rPr>
          <w:rFonts w:hint="eastAsia" w:ascii="宋体" w:hAnsi="宋体" w:cs="宋体"/>
          <w:b/>
          <w:bCs/>
          <w:color w:val="000000"/>
          <w:kern w:val="0"/>
        </w:rPr>
        <w:t>法定代表人（签字或盖章）：</w:t>
      </w:r>
      <w:r>
        <w:rPr>
          <w:rFonts w:ascii="宋体" w:hAnsi="宋体" w:cs="宋体"/>
          <w:b/>
          <w:bCs/>
          <w:color w:val="000000"/>
          <w:kern w:val="0"/>
        </w:rPr>
        <w:t xml:space="preserve"> </w:t>
      </w:r>
    </w:p>
    <w:p>
      <w:pPr>
        <w:widowControl/>
        <w:spacing w:line="360" w:lineRule="auto"/>
        <w:jc w:val="left"/>
        <w:rPr>
          <w:rFonts w:cs="Times New Roman"/>
        </w:rPr>
      </w:pPr>
      <w:r>
        <w:rPr>
          <w:rFonts w:hint="eastAsia" w:ascii="宋体" w:hAnsi="宋体" w:cs="宋体"/>
          <w:color w:val="000000"/>
          <w:kern w:val="0"/>
        </w:rPr>
        <w:t>签字日期：</w:t>
      </w:r>
      <w:r>
        <w:rPr>
          <w:rFonts w:ascii="宋体" w:hAnsi="宋体" w:cs="宋体"/>
          <w:color w:val="000000"/>
          <w:kern w:val="0"/>
        </w:rPr>
        <w:t xml:space="preserve">     </w:t>
      </w:r>
      <w:r>
        <w:rPr>
          <w:rFonts w:hint="eastAsia" w:ascii="宋体" w:hAnsi="宋体" w:cs="宋体"/>
          <w:color w:val="000000"/>
          <w:kern w:val="0"/>
        </w:rPr>
        <w:t>年</w:t>
      </w:r>
      <w:r>
        <w:rPr>
          <w:rFonts w:ascii="宋体" w:hAnsi="宋体" w:cs="宋体"/>
          <w:color w:val="000000"/>
          <w:kern w:val="0"/>
        </w:rPr>
        <w:t xml:space="preserve">    </w:t>
      </w:r>
      <w:r>
        <w:rPr>
          <w:rFonts w:hint="eastAsia" w:ascii="宋体" w:hAnsi="宋体" w:cs="宋体"/>
          <w:color w:val="000000"/>
          <w:kern w:val="0"/>
        </w:rPr>
        <w:t>月</w:t>
      </w:r>
      <w:r>
        <w:rPr>
          <w:rFonts w:ascii="宋体" w:hAnsi="宋体" w:cs="宋体"/>
          <w:color w:val="000000"/>
          <w:kern w:val="0"/>
        </w:rPr>
        <w:t xml:space="preserve">    </w:t>
      </w:r>
      <w:r>
        <w:rPr>
          <w:rFonts w:hint="eastAsia" w:ascii="宋体" w:hAnsi="宋体" w:cs="宋体"/>
          <w:color w:val="000000"/>
          <w:kern w:val="0"/>
        </w:rPr>
        <w:t>日</w:t>
      </w:r>
    </w:p>
    <w:tbl>
      <w:tblPr>
        <w:tblStyle w:val="35"/>
        <w:tblpPr w:leftFromText="180" w:rightFromText="180" w:vertAnchor="text" w:horzAnchor="page" w:tblpX="1209" w:tblpY="351"/>
        <w:tblOverlap w:val="never"/>
        <w:tblW w:w="4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4516" w:type="dxa"/>
          </w:tcPr>
          <w:p>
            <w:pPr>
              <w:spacing w:line="500" w:lineRule="exact"/>
              <w:ind w:left="-359" w:leftChars="-171"/>
              <w:rPr>
                <w:rFonts w:ascii="宋体" w:cs="Times New Roman"/>
              </w:rPr>
            </w:pPr>
          </w:p>
          <w:p>
            <w:pPr>
              <w:spacing w:line="360" w:lineRule="auto"/>
              <w:ind w:left="-359" w:leftChars="-171"/>
              <w:jc w:val="center"/>
              <w:rPr>
                <w:rFonts w:ascii="宋体" w:cs="Times New Roman"/>
              </w:rPr>
            </w:pPr>
            <w:r>
              <w:rPr>
                <w:rFonts w:hint="eastAsia" w:ascii="宋体" w:hAnsi="宋体" w:cs="宋体"/>
              </w:rPr>
              <w:t>被授权人（授权代表）</w:t>
            </w:r>
          </w:p>
          <w:p>
            <w:pPr>
              <w:spacing w:line="360" w:lineRule="auto"/>
              <w:ind w:left="-359" w:leftChars="-171"/>
              <w:jc w:val="center"/>
              <w:rPr>
                <w:rFonts w:ascii="宋体" w:cs="Times New Roman"/>
              </w:rPr>
            </w:pPr>
            <w:r>
              <w:rPr>
                <w:rFonts w:hint="eastAsia" w:ascii="宋体" w:hAnsi="宋体" w:cs="宋体"/>
              </w:rPr>
              <w:t>有效居民身份证复印件粘贴处</w:t>
            </w:r>
          </w:p>
          <w:p>
            <w:pPr>
              <w:spacing w:line="360" w:lineRule="auto"/>
              <w:ind w:left="-359" w:leftChars="-171"/>
              <w:jc w:val="center"/>
              <w:rPr>
                <w:rFonts w:ascii="宋体" w:cs="Times New Roman"/>
              </w:rPr>
            </w:pPr>
            <w:r>
              <w:rPr>
                <w:rFonts w:hint="eastAsia" w:ascii="宋体" w:hAnsi="宋体" w:cs="宋体"/>
              </w:rPr>
              <w:t>（正面）</w:t>
            </w:r>
          </w:p>
        </w:tc>
      </w:tr>
    </w:tbl>
    <w:p>
      <w:pPr>
        <w:rPr>
          <w:vanish/>
        </w:rPr>
      </w:pPr>
    </w:p>
    <w:tbl>
      <w:tblPr>
        <w:tblStyle w:val="35"/>
        <w:tblpPr w:leftFromText="180" w:rightFromText="180" w:vertAnchor="text" w:horzAnchor="page" w:tblpX="6264" w:tblpY="351"/>
        <w:tblOverlap w:val="never"/>
        <w:tblW w:w="4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4516" w:type="dxa"/>
          </w:tcPr>
          <w:p>
            <w:pPr>
              <w:spacing w:line="500" w:lineRule="exact"/>
              <w:ind w:left="-359" w:leftChars="-171"/>
              <w:rPr>
                <w:rFonts w:ascii="宋体" w:cs="Times New Roman"/>
              </w:rPr>
            </w:pPr>
          </w:p>
          <w:p>
            <w:pPr>
              <w:spacing w:line="360" w:lineRule="auto"/>
              <w:ind w:left="-359" w:leftChars="-171"/>
              <w:jc w:val="center"/>
              <w:rPr>
                <w:rFonts w:ascii="宋体" w:cs="Times New Roman"/>
              </w:rPr>
            </w:pPr>
            <w:r>
              <w:rPr>
                <w:rFonts w:hint="eastAsia" w:ascii="宋体" w:hAnsi="宋体" w:cs="宋体"/>
              </w:rPr>
              <w:t>被授权人（授权代表）</w:t>
            </w:r>
          </w:p>
          <w:p>
            <w:pPr>
              <w:spacing w:line="360" w:lineRule="auto"/>
              <w:ind w:left="-359" w:leftChars="-171"/>
              <w:jc w:val="center"/>
              <w:rPr>
                <w:rFonts w:ascii="宋体" w:cs="Times New Roman"/>
              </w:rPr>
            </w:pPr>
            <w:r>
              <w:rPr>
                <w:rFonts w:hint="eastAsia" w:ascii="宋体" w:hAnsi="宋体" w:cs="宋体"/>
              </w:rPr>
              <w:t>有效居民身份证复印件粘贴处</w:t>
            </w:r>
          </w:p>
          <w:p>
            <w:pPr>
              <w:spacing w:line="360" w:lineRule="auto"/>
              <w:ind w:left="-359" w:leftChars="-171"/>
              <w:jc w:val="center"/>
              <w:rPr>
                <w:rFonts w:ascii="宋体" w:cs="Times New Roman"/>
              </w:rPr>
            </w:pPr>
            <w:r>
              <w:rPr>
                <w:rFonts w:hint="eastAsia" w:ascii="宋体" w:hAnsi="宋体" w:cs="宋体"/>
              </w:rPr>
              <w:t>（反面）</w:t>
            </w:r>
          </w:p>
        </w:tc>
      </w:tr>
    </w:tbl>
    <w:p>
      <w:pPr>
        <w:tabs>
          <w:tab w:val="left" w:pos="284"/>
        </w:tabs>
        <w:spacing w:line="400" w:lineRule="exact"/>
        <w:rPr>
          <w:rFonts w:ascii="黑体" w:hAnsi="Times New Roman" w:eastAsia="黑体" w:cs="黑体"/>
          <w:sz w:val="28"/>
          <w:szCs w:val="28"/>
        </w:rPr>
      </w:pPr>
    </w:p>
    <w:p>
      <w:pPr>
        <w:tabs>
          <w:tab w:val="left" w:pos="284"/>
        </w:tabs>
        <w:spacing w:line="400" w:lineRule="exact"/>
        <w:ind w:left="283" w:leftChars="135" w:firstLine="980" w:firstLineChars="350"/>
        <w:rPr>
          <w:rFonts w:ascii="黑体" w:hAnsi="Times New Roman" w:eastAsia="黑体" w:cs="黑体"/>
          <w:sz w:val="28"/>
          <w:szCs w:val="28"/>
        </w:rPr>
      </w:pPr>
    </w:p>
    <w:p>
      <w:pPr>
        <w:pStyle w:val="4"/>
        <w:rPr>
          <w:rFonts w:ascii="黑体" w:hAnsi="Times New Roman" w:cs="黑体"/>
          <w:sz w:val="28"/>
          <w:szCs w:val="28"/>
        </w:rPr>
      </w:pPr>
    </w:p>
    <w:p>
      <w:pPr>
        <w:rPr>
          <w:rFonts w:ascii="黑体" w:hAnsi="Times New Roman" w:eastAsia="黑体" w:cs="黑体"/>
          <w:sz w:val="28"/>
          <w:szCs w:val="28"/>
        </w:rPr>
      </w:pPr>
    </w:p>
    <w:p>
      <w:pPr>
        <w:pStyle w:val="4"/>
      </w:pPr>
    </w:p>
    <w:p>
      <w:pPr>
        <w:tabs>
          <w:tab w:val="left" w:pos="284"/>
        </w:tabs>
        <w:spacing w:line="400" w:lineRule="exact"/>
        <w:ind w:left="283" w:leftChars="135" w:firstLine="980" w:firstLineChars="350"/>
        <w:rPr>
          <w:rFonts w:ascii="黑体" w:hAnsi="Times New Roman" w:eastAsia="黑体" w:cs="黑体"/>
          <w:sz w:val="28"/>
          <w:szCs w:val="28"/>
        </w:rPr>
      </w:pPr>
    </w:p>
    <w:p>
      <w:pPr>
        <w:numPr>
          <w:ilvl w:val="0"/>
          <w:numId w:val="5"/>
        </w:numPr>
        <w:spacing w:line="400" w:lineRule="exact"/>
        <w:rPr>
          <w:rFonts w:ascii="黑体" w:hAnsi="Times New Roman" w:eastAsia="黑体" w:cs="黑体"/>
          <w:sz w:val="28"/>
          <w:szCs w:val="28"/>
        </w:rPr>
      </w:pPr>
    </w:p>
    <w:p>
      <w:pPr>
        <w:widowControl/>
        <w:jc w:val="center"/>
        <w:rPr>
          <w:b/>
          <w:sz w:val="24"/>
        </w:rPr>
      </w:pPr>
      <w:r>
        <w:rPr>
          <w:rFonts w:hint="eastAsia" w:ascii="Times New Roman" w:hAnsi="Times New Roman" w:cs="宋体"/>
          <w:b/>
          <w:sz w:val="24"/>
        </w:rPr>
        <w:t>“▲”条款响应一览表</w:t>
      </w:r>
    </w:p>
    <w:p>
      <w:pPr>
        <w:spacing w:line="400" w:lineRule="exact"/>
        <w:ind w:left="945" w:leftChars="100" w:hanging="735" w:hangingChars="350"/>
        <w:rPr>
          <w:rFonts w:ascii="宋体" w:hAnsi="Times New Roman" w:cs="宋体"/>
        </w:rPr>
      </w:pPr>
      <w:r>
        <w:rPr>
          <w:rFonts w:hint="eastAsia" w:ascii="宋体" w:hAnsi="宋体" w:cs="宋体"/>
        </w:rPr>
        <w:t>说明：供应商必须对应询价文件</w:t>
      </w:r>
      <w:r>
        <w:rPr>
          <w:rFonts w:hint="eastAsia" w:ascii="Times New Roman" w:hAnsi="Times New Roman" w:cs="宋体"/>
        </w:rPr>
        <w:t>带“</w:t>
      </w:r>
      <w:r>
        <w:rPr>
          <w:rFonts w:hint="eastAsia" w:ascii="宋体" w:hAnsi="Times New Roman" w:cs="宋体"/>
        </w:rPr>
        <w:t>▲</w:t>
      </w:r>
      <w:r>
        <w:rPr>
          <w:rFonts w:hint="eastAsia" w:ascii="Times New Roman" w:hAnsi="Times New Roman" w:cs="宋体"/>
        </w:rPr>
        <w:t>”的</w:t>
      </w:r>
      <w:r>
        <w:rPr>
          <w:rFonts w:hint="eastAsia" w:ascii="宋体" w:hAnsi="宋体" w:cs="宋体"/>
        </w:rPr>
        <w:t>实质性条款逐条应答并按要求填写下表。</w:t>
      </w:r>
    </w:p>
    <w:p>
      <w:pPr>
        <w:spacing w:line="400" w:lineRule="exact"/>
        <w:ind w:firstLine="210" w:firstLineChars="100"/>
        <w:rPr>
          <w:rFonts w:ascii="宋体" w:hAnsi="Times New Roman" w:cs="宋体"/>
          <w:u w:val="single"/>
        </w:rPr>
      </w:pPr>
      <w:r>
        <w:rPr>
          <w:rFonts w:hint="eastAsia" w:ascii="宋体" w:hAnsi="宋体" w:cs="宋体"/>
        </w:rPr>
        <w:t>项目名称：</w:t>
      </w:r>
      <w:r>
        <w:rPr>
          <w:rFonts w:ascii="宋体" w:hAnsi="Times New Roman" w:cs="宋体"/>
          <w:u w:val="single"/>
        </w:rPr>
        <w:t xml:space="preserve">                                                  </w:t>
      </w:r>
    </w:p>
    <w:p>
      <w:pPr>
        <w:spacing w:line="400" w:lineRule="exact"/>
        <w:ind w:firstLine="210" w:firstLineChars="100"/>
        <w:rPr>
          <w:rFonts w:ascii="宋体" w:hAnsi="Times New Roman" w:cs="宋体"/>
        </w:rPr>
      </w:pPr>
      <w:r>
        <w:rPr>
          <w:rFonts w:hint="eastAsia" w:ascii="宋体" w:hAnsi="宋体" w:cs="宋体"/>
        </w:rPr>
        <w:t>项目编号：</w:t>
      </w:r>
      <w:r>
        <w:rPr>
          <w:rFonts w:ascii="宋体" w:hAnsi="宋体" w:cs="宋体"/>
          <w:u w:val="single"/>
        </w:rPr>
        <w:t xml:space="preserve">                               </w:t>
      </w:r>
    </w:p>
    <w:tbl>
      <w:tblPr>
        <w:tblStyle w:val="3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2865"/>
        <w:gridCol w:w="2805"/>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tabs>
                <w:tab w:val="left" w:pos="142"/>
              </w:tabs>
              <w:jc w:val="center"/>
              <w:rPr>
                <w:rFonts w:ascii="宋体" w:hAnsi="Times New Roman" w:cs="宋体"/>
                <w:sz w:val="18"/>
                <w:szCs w:val="18"/>
              </w:rPr>
            </w:pPr>
            <w:r>
              <w:rPr>
                <w:rFonts w:hint="eastAsia" w:ascii="宋体" w:hAnsi="宋体" w:cs="宋体"/>
                <w:sz w:val="18"/>
                <w:szCs w:val="18"/>
              </w:rPr>
              <w:t>序号</w:t>
            </w:r>
          </w:p>
        </w:tc>
        <w:tc>
          <w:tcPr>
            <w:tcW w:w="2865"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r>
              <w:rPr>
                <w:rFonts w:hint="eastAsia" w:ascii="宋体" w:hAnsi="宋体" w:cs="宋体"/>
                <w:sz w:val="18"/>
                <w:szCs w:val="18"/>
              </w:rPr>
              <w:t>询价文件的要求描述</w:t>
            </w:r>
          </w:p>
        </w:tc>
        <w:tc>
          <w:tcPr>
            <w:tcW w:w="2805"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r>
              <w:rPr>
                <w:rFonts w:hint="eastAsia" w:ascii="宋体" w:hAnsi="宋体" w:cs="宋体"/>
                <w:sz w:val="18"/>
                <w:szCs w:val="18"/>
              </w:rPr>
              <w:t>响应供应商响应描述</w:t>
            </w:r>
          </w:p>
        </w:tc>
        <w:tc>
          <w:tcPr>
            <w:tcW w:w="2298"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r>
              <w:rPr>
                <w:rFonts w:hint="eastAsia" w:ascii="宋体" w:hAnsi="宋体" w:cs="宋体"/>
                <w:sz w:val="18"/>
                <w:szCs w:val="18"/>
              </w:rPr>
              <w:t>偏离情况说明</w:t>
            </w:r>
          </w:p>
          <w:p>
            <w:pPr>
              <w:ind w:left="-78" w:leftChars="-37" w:right="-80" w:rightChars="-38"/>
              <w:rPr>
                <w:rFonts w:ascii="宋体" w:hAnsi="Times New Roman" w:cs="宋体"/>
                <w:sz w:val="18"/>
                <w:szCs w:val="18"/>
              </w:rPr>
            </w:pPr>
            <w:r>
              <w:rPr>
                <w:rFonts w:hint="eastAsia" w:ascii="宋体" w:hAnsi="宋体" w:cs="宋体"/>
                <w:sz w:val="18"/>
                <w:szCs w:val="18"/>
              </w:rPr>
              <w:t>可填写：“正偏离”、“无偏离”、“负偏离”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numPr>
                <w:ilvl w:val="0"/>
                <w:numId w:val="6"/>
              </w:numPr>
              <w:jc w:val="center"/>
              <w:rPr>
                <w:rFonts w:ascii="宋体" w:hAnsi="Times New Roman" w:cs="宋体"/>
                <w:sz w:val="18"/>
                <w:szCs w:val="18"/>
              </w:rPr>
            </w:pPr>
          </w:p>
        </w:tc>
        <w:tc>
          <w:tcPr>
            <w:tcW w:w="2865"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left"/>
              <w:rPr>
                <w:rFonts w:ascii="宋体" w:hAnsi="Times New Roman" w:cs="宋体"/>
                <w:sz w:val="18"/>
                <w:szCs w:val="18"/>
              </w:rPr>
            </w:pPr>
          </w:p>
        </w:tc>
        <w:tc>
          <w:tcPr>
            <w:tcW w:w="2805"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2298"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numPr>
                <w:ilvl w:val="0"/>
                <w:numId w:val="6"/>
              </w:numPr>
              <w:jc w:val="center"/>
              <w:rPr>
                <w:rFonts w:ascii="宋体" w:hAnsi="Times New Roman" w:cs="宋体"/>
                <w:sz w:val="18"/>
                <w:szCs w:val="18"/>
              </w:rPr>
            </w:pPr>
          </w:p>
        </w:tc>
        <w:tc>
          <w:tcPr>
            <w:tcW w:w="2865" w:type="dxa"/>
            <w:tcBorders>
              <w:top w:val="single" w:color="auto" w:sz="4" w:space="0"/>
              <w:left w:val="single" w:color="auto" w:sz="4" w:space="0"/>
              <w:bottom w:val="single" w:color="auto" w:sz="4" w:space="0"/>
              <w:right w:val="single" w:color="auto" w:sz="4" w:space="0"/>
            </w:tcBorders>
            <w:vAlign w:val="center"/>
          </w:tcPr>
          <w:p>
            <w:pPr>
              <w:pStyle w:val="32"/>
              <w:spacing w:before="0" w:beforeAutospacing="0" w:after="0" w:afterAutospacing="0" w:line="360" w:lineRule="auto"/>
              <w:jc w:val="both"/>
              <w:rPr>
                <w:rFonts w:hAnsi="Times New Roman"/>
                <w:sz w:val="18"/>
                <w:szCs w:val="18"/>
              </w:rPr>
            </w:pPr>
          </w:p>
        </w:tc>
        <w:tc>
          <w:tcPr>
            <w:tcW w:w="2805"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2298"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numPr>
                <w:ilvl w:val="0"/>
                <w:numId w:val="6"/>
              </w:numPr>
              <w:jc w:val="center"/>
              <w:rPr>
                <w:rFonts w:ascii="宋体" w:hAnsi="Times New Roman" w:cs="宋体"/>
                <w:sz w:val="18"/>
                <w:szCs w:val="18"/>
              </w:rPr>
            </w:pPr>
          </w:p>
        </w:tc>
        <w:tc>
          <w:tcPr>
            <w:tcW w:w="2865" w:type="dxa"/>
            <w:tcBorders>
              <w:top w:val="single" w:color="auto" w:sz="4" w:space="0"/>
              <w:left w:val="single" w:color="auto" w:sz="4" w:space="0"/>
              <w:bottom w:val="single" w:color="auto" w:sz="4" w:space="0"/>
              <w:right w:val="single" w:color="auto" w:sz="4" w:space="0"/>
            </w:tcBorders>
            <w:vAlign w:val="center"/>
          </w:tcPr>
          <w:p>
            <w:pPr>
              <w:pStyle w:val="32"/>
              <w:spacing w:before="0" w:beforeAutospacing="0" w:after="0" w:afterAutospacing="0" w:line="360" w:lineRule="auto"/>
              <w:jc w:val="both"/>
              <w:rPr>
                <w:rFonts w:hAnsi="Times New Roman"/>
                <w:sz w:val="18"/>
                <w:szCs w:val="18"/>
              </w:rPr>
            </w:pPr>
          </w:p>
        </w:tc>
        <w:tc>
          <w:tcPr>
            <w:tcW w:w="2805"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2298"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numPr>
                <w:ilvl w:val="0"/>
                <w:numId w:val="6"/>
              </w:numPr>
              <w:jc w:val="center"/>
              <w:rPr>
                <w:rFonts w:ascii="宋体" w:hAnsi="Times New Roman" w:cs="宋体"/>
                <w:sz w:val="18"/>
                <w:szCs w:val="18"/>
              </w:rPr>
            </w:pPr>
          </w:p>
        </w:tc>
        <w:tc>
          <w:tcPr>
            <w:tcW w:w="2865" w:type="dxa"/>
            <w:tcBorders>
              <w:top w:val="single" w:color="auto" w:sz="4" w:space="0"/>
              <w:left w:val="single" w:color="auto" w:sz="4" w:space="0"/>
              <w:bottom w:val="single" w:color="auto" w:sz="4" w:space="0"/>
              <w:right w:val="single" w:color="auto" w:sz="4" w:space="0"/>
            </w:tcBorders>
            <w:vAlign w:val="center"/>
          </w:tcPr>
          <w:p>
            <w:pPr>
              <w:pStyle w:val="32"/>
              <w:spacing w:before="0" w:beforeAutospacing="0" w:after="0" w:afterAutospacing="0" w:line="360" w:lineRule="auto"/>
              <w:jc w:val="both"/>
              <w:rPr>
                <w:rFonts w:hAnsi="Times New Roman"/>
                <w:sz w:val="18"/>
                <w:szCs w:val="18"/>
              </w:rPr>
            </w:pPr>
          </w:p>
        </w:tc>
        <w:tc>
          <w:tcPr>
            <w:tcW w:w="2805"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2298"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numPr>
                <w:ilvl w:val="0"/>
                <w:numId w:val="6"/>
              </w:numPr>
              <w:jc w:val="center"/>
              <w:rPr>
                <w:rFonts w:ascii="宋体" w:hAnsi="Times New Roman" w:cs="宋体"/>
                <w:sz w:val="18"/>
                <w:szCs w:val="18"/>
              </w:rPr>
            </w:pPr>
          </w:p>
        </w:tc>
        <w:tc>
          <w:tcPr>
            <w:tcW w:w="2865" w:type="dxa"/>
            <w:tcBorders>
              <w:top w:val="single" w:color="auto" w:sz="4" w:space="0"/>
              <w:left w:val="single" w:color="auto" w:sz="4" w:space="0"/>
              <w:bottom w:val="single" w:color="auto" w:sz="4" w:space="0"/>
              <w:right w:val="single" w:color="auto" w:sz="4" w:space="0"/>
            </w:tcBorders>
            <w:vAlign w:val="center"/>
          </w:tcPr>
          <w:p>
            <w:pPr>
              <w:pStyle w:val="32"/>
              <w:spacing w:before="0" w:beforeAutospacing="0" w:after="0" w:afterAutospacing="0" w:line="360" w:lineRule="auto"/>
              <w:jc w:val="both"/>
              <w:rPr>
                <w:rFonts w:hAnsi="Times New Roman"/>
                <w:sz w:val="18"/>
                <w:szCs w:val="18"/>
              </w:rPr>
            </w:pPr>
          </w:p>
        </w:tc>
        <w:tc>
          <w:tcPr>
            <w:tcW w:w="2805"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2298"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numPr>
                <w:ilvl w:val="0"/>
                <w:numId w:val="6"/>
              </w:numPr>
              <w:jc w:val="center"/>
              <w:rPr>
                <w:rFonts w:ascii="宋体" w:hAnsi="Times New Roman" w:cs="宋体"/>
                <w:sz w:val="18"/>
                <w:szCs w:val="18"/>
              </w:rPr>
            </w:pPr>
          </w:p>
        </w:tc>
        <w:tc>
          <w:tcPr>
            <w:tcW w:w="2865" w:type="dxa"/>
            <w:tcBorders>
              <w:top w:val="single" w:color="auto" w:sz="4" w:space="0"/>
              <w:left w:val="single" w:color="auto" w:sz="4" w:space="0"/>
              <w:bottom w:val="single" w:color="auto" w:sz="4" w:space="0"/>
              <w:right w:val="single" w:color="auto" w:sz="4" w:space="0"/>
            </w:tcBorders>
            <w:vAlign w:val="center"/>
          </w:tcPr>
          <w:p>
            <w:pPr>
              <w:pStyle w:val="32"/>
              <w:spacing w:before="0" w:beforeAutospacing="0" w:after="0" w:afterAutospacing="0" w:line="360" w:lineRule="auto"/>
              <w:jc w:val="both"/>
              <w:rPr>
                <w:rFonts w:hAnsi="Times New Roman"/>
                <w:sz w:val="18"/>
                <w:szCs w:val="18"/>
              </w:rPr>
            </w:pPr>
          </w:p>
        </w:tc>
        <w:tc>
          <w:tcPr>
            <w:tcW w:w="2805"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2298"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numPr>
                <w:ilvl w:val="0"/>
                <w:numId w:val="6"/>
              </w:numPr>
              <w:jc w:val="center"/>
              <w:rPr>
                <w:rFonts w:ascii="宋体" w:hAnsi="Times New Roman" w:cs="宋体"/>
                <w:sz w:val="18"/>
                <w:szCs w:val="18"/>
              </w:rPr>
            </w:pPr>
          </w:p>
        </w:tc>
        <w:tc>
          <w:tcPr>
            <w:tcW w:w="2865" w:type="dxa"/>
            <w:tcBorders>
              <w:top w:val="single" w:color="auto" w:sz="4" w:space="0"/>
              <w:left w:val="single" w:color="auto" w:sz="4" w:space="0"/>
              <w:bottom w:val="single" w:color="auto" w:sz="4" w:space="0"/>
              <w:right w:val="single" w:color="auto" w:sz="4" w:space="0"/>
            </w:tcBorders>
            <w:vAlign w:val="center"/>
          </w:tcPr>
          <w:p>
            <w:pPr>
              <w:pStyle w:val="32"/>
              <w:spacing w:before="0" w:beforeAutospacing="0" w:after="0" w:afterAutospacing="0" w:line="360" w:lineRule="auto"/>
              <w:jc w:val="both"/>
              <w:rPr>
                <w:rFonts w:hAnsi="Times New Roman"/>
                <w:sz w:val="18"/>
                <w:szCs w:val="18"/>
              </w:rPr>
            </w:pPr>
          </w:p>
        </w:tc>
        <w:tc>
          <w:tcPr>
            <w:tcW w:w="2805"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2298"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numPr>
                <w:ilvl w:val="0"/>
                <w:numId w:val="6"/>
              </w:numPr>
              <w:jc w:val="center"/>
              <w:rPr>
                <w:rFonts w:ascii="宋体" w:hAnsi="Times New Roman" w:cs="宋体"/>
                <w:sz w:val="18"/>
                <w:szCs w:val="18"/>
              </w:rPr>
            </w:pPr>
          </w:p>
        </w:tc>
        <w:tc>
          <w:tcPr>
            <w:tcW w:w="2865" w:type="dxa"/>
            <w:tcBorders>
              <w:top w:val="single" w:color="auto" w:sz="4" w:space="0"/>
              <w:left w:val="single" w:color="auto" w:sz="4" w:space="0"/>
              <w:bottom w:val="single" w:color="auto" w:sz="4" w:space="0"/>
              <w:right w:val="single" w:color="auto" w:sz="4" w:space="0"/>
            </w:tcBorders>
            <w:vAlign w:val="center"/>
          </w:tcPr>
          <w:p>
            <w:pPr>
              <w:pStyle w:val="32"/>
              <w:spacing w:before="0" w:beforeAutospacing="0" w:after="0" w:afterAutospacing="0" w:line="360" w:lineRule="auto"/>
              <w:jc w:val="both"/>
              <w:rPr>
                <w:rFonts w:hAnsi="Times New Roman"/>
                <w:sz w:val="18"/>
                <w:szCs w:val="18"/>
              </w:rPr>
            </w:pPr>
          </w:p>
        </w:tc>
        <w:tc>
          <w:tcPr>
            <w:tcW w:w="2805"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2298"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numPr>
                <w:ilvl w:val="0"/>
                <w:numId w:val="6"/>
              </w:numPr>
              <w:jc w:val="center"/>
              <w:rPr>
                <w:rFonts w:ascii="宋体" w:hAnsi="Times New Roman" w:cs="宋体"/>
                <w:sz w:val="18"/>
                <w:szCs w:val="18"/>
              </w:rPr>
            </w:pPr>
          </w:p>
        </w:tc>
        <w:tc>
          <w:tcPr>
            <w:tcW w:w="2865" w:type="dxa"/>
            <w:tcBorders>
              <w:top w:val="single" w:color="auto" w:sz="4" w:space="0"/>
              <w:left w:val="single" w:color="auto" w:sz="4" w:space="0"/>
              <w:bottom w:val="single" w:color="auto" w:sz="4" w:space="0"/>
              <w:right w:val="single" w:color="auto" w:sz="4" w:space="0"/>
            </w:tcBorders>
            <w:vAlign w:val="center"/>
          </w:tcPr>
          <w:p>
            <w:pPr>
              <w:pStyle w:val="32"/>
              <w:spacing w:before="0" w:beforeAutospacing="0" w:after="0" w:afterAutospacing="0" w:line="360" w:lineRule="auto"/>
              <w:jc w:val="both"/>
              <w:rPr>
                <w:rFonts w:hAnsi="Times New Roman"/>
                <w:sz w:val="18"/>
                <w:szCs w:val="18"/>
              </w:rPr>
            </w:pPr>
          </w:p>
        </w:tc>
        <w:tc>
          <w:tcPr>
            <w:tcW w:w="2805"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2298"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numPr>
                <w:ilvl w:val="0"/>
                <w:numId w:val="6"/>
              </w:numPr>
              <w:jc w:val="center"/>
              <w:rPr>
                <w:rFonts w:ascii="宋体" w:hAnsi="Times New Roman" w:cs="宋体"/>
                <w:sz w:val="18"/>
                <w:szCs w:val="18"/>
              </w:rPr>
            </w:pPr>
          </w:p>
        </w:tc>
        <w:tc>
          <w:tcPr>
            <w:tcW w:w="2865" w:type="dxa"/>
            <w:tcBorders>
              <w:top w:val="single" w:color="auto" w:sz="4" w:space="0"/>
              <w:left w:val="single" w:color="auto" w:sz="4" w:space="0"/>
              <w:bottom w:val="single" w:color="auto" w:sz="4" w:space="0"/>
              <w:right w:val="single" w:color="auto" w:sz="4" w:space="0"/>
            </w:tcBorders>
            <w:vAlign w:val="center"/>
          </w:tcPr>
          <w:p>
            <w:pPr>
              <w:pStyle w:val="32"/>
              <w:spacing w:before="0" w:beforeAutospacing="0" w:after="0" w:afterAutospacing="0" w:line="360" w:lineRule="auto"/>
              <w:jc w:val="both"/>
              <w:rPr>
                <w:rFonts w:hAnsi="Times New Roman"/>
                <w:sz w:val="18"/>
                <w:szCs w:val="18"/>
              </w:rPr>
            </w:pPr>
          </w:p>
        </w:tc>
        <w:tc>
          <w:tcPr>
            <w:tcW w:w="2805"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2298"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r>
    </w:tbl>
    <w:p>
      <w:pPr>
        <w:adjustRightInd w:val="0"/>
        <w:snapToGrid w:val="0"/>
        <w:spacing w:line="460" w:lineRule="exact"/>
        <w:ind w:left="59" w:leftChars="28"/>
        <w:rPr>
          <w:rFonts w:ascii="宋体" w:hAnsi="Times New Roman" w:cs="宋体"/>
        </w:rPr>
      </w:pPr>
      <w:r>
        <w:rPr>
          <w:rFonts w:hint="eastAsia" w:ascii="宋体" w:hAnsi="宋体" w:cs="宋体"/>
        </w:rPr>
        <w:t>备注：本表中“询价文件的要求描述”与采购需求书中的条款描述不一致的以采购需求书中的规定为准。</w:t>
      </w:r>
    </w:p>
    <w:p>
      <w:pPr>
        <w:spacing w:line="500" w:lineRule="exact"/>
        <w:ind w:firstLine="109" w:firstLineChars="50"/>
        <w:rPr>
          <w:spacing w:val="4"/>
        </w:rPr>
      </w:pPr>
    </w:p>
    <w:p>
      <w:pPr>
        <w:ind w:firstLine="420" w:firstLineChars="200"/>
      </w:pPr>
      <w:r>
        <w:rPr>
          <w:rFonts w:hint="eastAsia" w:ascii="Times New Roman" w:hAnsi="Times New Roman" w:cs="宋体"/>
        </w:rPr>
        <w:t>供应商名称（公章）：</w:t>
      </w:r>
    </w:p>
    <w:p>
      <w:pPr>
        <w:ind w:firstLine="420" w:firstLineChars="200"/>
      </w:pPr>
    </w:p>
    <w:p>
      <w:pPr>
        <w:ind w:firstLine="420" w:firstLineChars="200"/>
      </w:pPr>
      <w:r>
        <w:rPr>
          <w:rFonts w:hint="eastAsia" w:ascii="Times New Roman" w:hAnsi="Times New Roman" w:cs="宋体"/>
        </w:rPr>
        <w:t>法定代表人或其授权代表（签名）：</w:t>
      </w:r>
    </w:p>
    <w:p>
      <w:pPr>
        <w:ind w:firstLine="420" w:firstLineChars="200"/>
      </w:pPr>
    </w:p>
    <w:p>
      <w:pPr>
        <w:ind w:firstLine="420" w:firstLineChars="200"/>
      </w:pPr>
      <w:r>
        <w:rPr>
          <w:rFonts w:hint="eastAsia" w:ascii="Times New Roman" w:hAnsi="Times New Roman" w:cs="宋体"/>
        </w:rPr>
        <w:t xml:space="preserve">日期： </w:t>
      </w:r>
      <w:r>
        <w:rPr>
          <w:rFonts w:ascii="Times New Roman" w:hAnsi="Times New Roman" w:cs="宋体"/>
        </w:rPr>
        <w:t xml:space="preserve">      </w:t>
      </w:r>
      <w:r>
        <w:rPr>
          <w:rFonts w:hint="eastAsia" w:ascii="Times New Roman" w:hAnsi="Times New Roman" w:cs="宋体"/>
        </w:rPr>
        <w:t xml:space="preserve">年 </w:t>
      </w:r>
      <w:r>
        <w:rPr>
          <w:rFonts w:ascii="Times New Roman" w:hAnsi="Times New Roman" w:cs="宋体"/>
        </w:rPr>
        <w:t xml:space="preserve">  </w:t>
      </w:r>
      <w:r>
        <w:rPr>
          <w:rFonts w:hint="eastAsia" w:ascii="Times New Roman" w:hAnsi="Times New Roman" w:cs="宋体"/>
        </w:rPr>
        <w:t xml:space="preserve">月 </w:t>
      </w:r>
      <w:r>
        <w:rPr>
          <w:rFonts w:ascii="Times New Roman" w:hAnsi="Times New Roman" w:cs="宋体"/>
        </w:rPr>
        <w:t xml:space="preserve">  </w:t>
      </w:r>
      <w:r>
        <w:rPr>
          <w:rFonts w:hint="eastAsia" w:ascii="Times New Roman" w:hAnsi="Times New Roman" w:cs="宋体"/>
        </w:rPr>
        <w:t>日</w:t>
      </w:r>
    </w:p>
    <w:p>
      <w:pPr>
        <w:widowControl/>
        <w:jc w:val="left"/>
        <w:rPr>
          <w:rFonts w:ascii="黑体" w:hAnsi="Times New Roman" w:eastAsia="黑体" w:cs="黑体"/>
          <w:sz w:val="28"/>
          <w:szCs w:val="28"/>
        </w:rPr>
      </w:pPr>
    </w:p>
    <w:p>
      <w:pPr>
        <w:widowControl/>
        <w:jc w:val="left"/>
        <w:rPr>
          <w:rFonts w:ascii="黑体" w:hAnsi="Times New Roman" w:eastAsia="黑体" w:cs="黑体"/>
          <w:sz w:val="28"/>
          <w:szCs w:val="28"/>
        </w:rPr>
      </w:pPr>
    </w:p>
    <w:p>
      <w:pPr>
        <w:widowControl/>
        <w:jc w:val="left"/>
        <w:rPr>
          <w:rFonts w:ascii="黑体" w:hAnsi="Times New Roman" w:eastAsia="黑体" w:cs="黑体"/>
          <w:sz w:val="28"/>
          <w:szCs w:val="28"/>
        </w:rPr>
      </w:pPr>
    </w:p>
    <w:p/>
    <w:p>
      <w:pPr>
        <w:numPr>
          <w:ilvl w:val="0"/>
          <w:numId w:val="5"/>
        </w:numPr>
        <w:spacing w:line="400" w:lineRule="exact"/>
        <w:rPr>
          <w:rFonts w:ascii="黑体" w:hAnsi="Times New Roman" w:eastAsia="黑体" w:cs="黑体"/>
          <w:sz w:val="28"/>
          <w:szCs w:val="28"/>
        </w:rPr>
      </w:pPr>
    </w:p>
    <w:p>
      <w:pPr>
        <w:pStyle w:val="3"/>
        <w:spacing w:line="360" w:lineRule="auto"/>
        <w:jc w:val="center"/>
        <w:rPr>
          <w:rFonts w:ascii="宋体" w:hAnsi="宋体" w:cs="宋体"/>
          <w:sz w:val="32"/>
          <w:szCs w:val="32"/>
        </w:rPr>
      </w:pPr>
      <w:bookmarkStart w:id="94" w:name="_Toc21165"/>
      <w:r>
        <w:rPr>
          <w:rFonts w:hint="eastAsia" w:ascii="宋体" w:hAnsi="宋体" w:cs="宋体"/>
          <w:sz w:val="32"/>
          <w:szCs w:val="32"/>
        </w:rPr>
        <w:t>报价表</w:t>
      </w:r>
      <w:bookmarkEnd w:id="94"/>
    </w:p>
    <w:p>
      <w:pPr>
        <w:pStyle w:val="4"/>
        <w:jc w:val="center"/>
        <w:rPr>
          <w:rFonts w:ascii="宋体" w:hAnsi="宋体" w:eastAsia="宋体" w:cs="宋体"/>
          <w:sz w:val="24"/>
          <w:szCs w:val="24"/>
        </w:rPr>
      </w:pPr>
      <w:r>
        <w:rPr>
          <w:rFonts w:hint="eastAsia" w:ascii="宋体" w:hAnsi="宋体" w:eastAsia="宋体" w:cs="宋体"/>
          <w:sz w:val="24"/>
          <w:szCs w:val="24"/>
        </w:rPr>
        <w:t>（一）报价一览表</w:t>
      </w:r>
    </w:p>
    <w:tbl>
      <w:tblPr>
        <w:tblStyle w:val="35"/>
        <w:tblW w:w="8840"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34"/>
        <w:gridCol w:w="3402"/>
        <w:gridCol w:w="19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534" w:type="dxa"/>
            <w:shd w:val="clear" w:color="auto" w:fill="D9D9D9"/>
            <w:vAlign w:val="center"/>
          </w:tcPr>
          <w:p>
            <w:pPr>
              <w:jc w:val="center"/>
              <w:rPr>
                <w:b/>
              </w:rPr>
            </w:pPr>
            <w:bookmarkStart w:id="95" w:name="_Hlk38364649"/>
            <w:r>
              <w:rPr>
                <w:rFonts w:hint="eastAsia"/>
                <w:b/>
              </w:rPr>
              <w:t>项目名称</w:t>
            </w:r>
          </w:p>
        </w:tc>
        <w:tc>
          <w:tcPr>
            <w:tcW w:w="3402" w:type="dxa"/>
            <w:shd w:val="clear" w:color="auto" w:fill="D9D9D9"/>
            <w:vAlign w:val="center"/>
          </w:tcPr>
          <w:p>
            <w:pPr>
              <w:jc w:val="center"/>
              <w:rPr>
                <w:b/>
              </w:rPr>
            </w:pPr>
            <w:r>
              <w:rPr>
                <w:rFonts w:hint="eastAsia"/>
                <w:b/>
              </w:rPr>
              <w:t>投标总报价</w:t>
            </w:r>
          </w:p>
        </w:tc>
        <w:tc>
          <w:tcPr>
            <w:tcW w:w="1904" w:type="dxa"/>
            <w:shd w:val="clear" w:color="auto" w:fill="D9D9D9"/>
            <w:vAlign w:val="center"/>
          </w:tcPr>
          <w:p>
            <w:pPr>
              <w:jc w:val="center"/>
              <w:rPr>
                <w:b/>
              </w:rPr>
            </w:pPr>
            <w:r>
              <w:rPr>
                <w:rFonts w:hint="eastAsia"/>
                <w:b/>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trPr>
        <w:tc>
          <w:tcPr>
            <w:tcW w:w="3534" w:type="dxa"/>
            <w:vMerge w:val="restart"/>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cs="Arial"/>
                <w:bCs/>
              </w:rPr>
            </w:pPr>
            <w:r>
              <w:rPr>
                <w:rFonts w:hint="eastAsia" w:cs="宋体"/>
                <w:kern w:val="28"/>
                <w:highlight w:val="yellow"/>
              </w:rPr>
              <w:t>广西南宁技师学院202</w:t>
            </w:r>
            <w:r>
              <w:rPr>
                <w:rFonts w:hint="eastAsia" w:cs="宋体"/>
                <w:kern w:val="28"/>
                <w:highlight w:val="yellow"/>
                <w:lang w:val="en-US" w:eastAsia="zh-CN"/>
              </w:rPr>
              <w:t>5</w:t>
            </w:r>
            <w:r>
              <w:rPr>
                <w:rFonts w:hint="eastAsia" w:cs="宋体"/>
                <w:kern w:val="28"/>
                <w:highlight w:val="yellow"/>
              </w:rPr>
              <w:t>年各校区变压器维保服务</w:t>
            </w:r>
          </w:p>
        </w:tc>
        <w:tc>
          <w:tcPr>
            <w:tcW w:w="3402" w:type="dxa"/>
            <w:vAlign w:val="center"/>
          </w:tcPr>
          <w:p>
            <w:pPr>
              <w:tabs>
                <w:tab w:val="left" w:pos="654"/>
                <w:tab w:val="left" w:pos="1734"/>
                <w:tab w:val="left" w:pos="2814"/>
                <w:tab w:val="left" w:pos="3894"/>
                <w:tab w:val="left" w:pos="5334"/>
                <w:tab w:val="left" w:pos="6414"/>
                <w:tab w:val="left" w:pos="7254"/>
                <w:tab w:val="left" w:pos="8574"/>
                <w:tab w:val="left" w:pos="9654"/>
              </w:tabs>
              <w:jc w:val="left"/>
              <w:rPr>
                <w:rFonts w:cs="Arial"/>
                <w:bCs/>
              </w:rPr>
            </w:pPr>
            <w:r>
              <w:rPr>
                <w:rFonts w:hint="eastAsia" w:cs="Arial"/>
                <w:bCs/>
              </w:rPr>
              <w:t>小写：￥</w:t>
            </w:r>
            <w:r>
              <w:rPr>
                <w:rFonts w:hint="eastAsia" w:cs="Arial"/>
                <w:bCs/>
                <w:u w:val="single"/>
              </w:rPr>
              <w:t xml:space="preserve">         </w:t>
            </w:r>
            <w:r>
              <w:rPr>
                <w:rFonts w:hint="eastAsia" w:cs="Arial"/>
                <w:bCs/>
              </w:rPr>
              <w:t>元</w:t>
            </w:r>
          </w:p>
        </w:tc>
        <w:tc>
          <w:tcPr>
            <w:tcW w:w="1904" w:type="dxa"/>
            <w:vMerge w:val="restart"/>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3534" w:type="dxa"/>
            <w:vMerge w:val="continue"/>
            <w:vAlign w:val="center"/>
          </w:tcPr>
          <w:p>
            <w:pPr>
              <w:tabs>
                <w:tab w:val="left" w:pos="654"/>
                <w:tab w:val="left" w:pos="1734"/>
                <w:tab w:val="left" w:pos="2814"/>
                <w:tab w:val="left" w:pos="3894"/>
                <w:tab w:val="left" w:pos="5334"/>
                <w:tab w:val="left" w:pos="6414"/>
                <w:tab w:val="left" w:pos="7254"/>
                <w:tab w:val="left" w:pos="8574"/>
                <w:tab w:val="left" w:pos="9654"/>
              </w:tabs>
              <w:jc w:val="center"/>
              <w:rPr>
                <w:rFonts w:cs="Arial"/>
                <w:bCs/>
              </w:rPr>
            </w:pPr>
          </w:p>
        </w:tc>
        <w:tc>
          <w:tcPr>
            <w:tcW w:w="3402" w:type="dxa"/>
            <w:vAlign w:val="center"/>
          </w:tcPr>
          <w:p>
            <w:pPr>
              <w:tabs>
                <w:tab w:val="left" w:pos="654"/>
                <w:tab w:val="left" w:pos="1734"/>
                <w:tab w:val="left" w:pos="2814"/>
                <w:tab w:val="left" w:pos="3894"/>
                <w:tab w:val="left" w:pos="5334"/>
                <w:tab w:val="left" w:pos="6414"/>
                <w:tab w:val="left" w:pos="7254"/>
                <w:tab w:val="left" w:pos="8574"/>
                <w:tab w:val="left" w:pos="9654"/>
              </w:tabs>
              <w:jc w:val="left"/>
              <w:rPr>
                <w:rFonts w:cs="Arial"/>
                <w:bCs/>
              </w:rPr>
            </w:pPr>
            <w:r>
              <w:rPr>
                <w:rFonts w:hint="eastAsia" w:cs="Arial"/>
                <w:bCs/>
              </w:rPr>
              <w:t>大写：人民币</w:t>
            </w:r>
            <w:r>
              <w:rPr>
                <w:rFonts w:hint="eastAsia" w:cs="Arial"/>
                <w:bCs/>
                <w:u w:val="single"/>
              </w:rPr>
              <w:t xml:space="preserve">         </w:t>
            </w:r>
          </w:p>
        </w:tc>
        <w:tc>
          <w:tcPr>
            <w:tcW w:w="1904" w:type="dxa"/>
            <w:vMerge w:val="continue"/>
            <w:vAlign w:val="center"/>
          </w:tcPr>
          <w:p>
            <w:pPr>
              <w:jc w:val="center"/>
            </w:pPr>
          </w:p>
        </w:tc>
      </w:tr>
      <w:bookmarkEnd w:id="95"/>
    </w:tbl>
    <w:p>
      <w:pPr>
        <w:jc w:val="center"/>
        <w:rPr>
          <w:rFonts w:cs="Times New Roman"/>
        </w:rPr>
      </w:pPr>
    </w:p>
    <w:p>
      <w:pPr>
        <w:spacing w:line="360" w:lineRule="auto"/>
        <w:rPr>
          <w:rFonts w:ascii="宋体" w:cs="Times New Roman"/>
        </w:rPr>
      </w:pPr>
      <w:r>
        <w:rPr>
          <w:rFonts w:hint="eastAsia" w:ascii="宋体" w:hAnsi="宋体" w:cs="宋体"/>
        </w:rPr>
        <w:t>注：</w:t>
      </w:r>
    </w:p>
    <w:p>
      <w:pPr>
        <w:numPr>
          <w:ilvl w:val="3"/>
          <w:numId w:val="7"/>
        </w:numPr>
        <w:tabs>
          <w:tab w:val="left" w:pos="720"/>
          <w:tab w:val="left" w:pos="1680"/>
        </w:tabs>
        <w:spacing w:line="360" w:lineRule="auto"/>
        <w:ind w:left="0" w:firstLine="420" w:firstLineChars="200"/>
        <w:rPr>
          <w:rFonts w:ascii="宋体" w:cs="Times New Roman"/>
        </w:rPr>
      </w:pPr>
      <w:r>
        <w:rPr>
          <w:rFonts w:hint="eastAsia" w:ascii="宋体" w:hAnsi="宋体" w:cs="宋体"/>
        </w:rPr>
        <w:t>中文大写金额用汉字，如壹、贰、叁、肆、伍、陆、柒、捌、玖、拾、佰、仟、万、亿、元、角、分、零、整（正）等。</w:t>
      </w:r>
    </w:p>
    <w:p>
      <w:pPr>
        <w:numPr>
          <w:ilvl w:val="3"/>
          <w:numId w:val="7"/>
        </w:numPr>
        <w:tabs>
          <w:tab w:val="left" w:pos="720"/>
          <w:tab w:val="left" w:pos="1680"/>
        </w:tabs>
        <w:spacing w:line="360" w:lineRule="auto"/>
        <w:ind w:hanging="1320"/>
        <w:rPr>
          <w:rFonts w:ascii="宋体" w:cs="Times New Roman"/>
        </w:rPr>
      </w:pPr>
      <w:r>
        <w:rPr>
          <w:rFonts w:hint="eastAsia" w:ascii="宋体" w:hAnsi="宋体" w:cs="宋体"/>
        </w:rPr>
        <w:t>供应商须按要求填写所有信息，不得随意更改本表格式。</w:t>
      </w:r>
    </w:p>
    <w:p>
      <w:pPr>
        <w:numPr>
          <w:ilvl w:val="3"/>
          <w:numId w:val="7"/>
        </w:numPr>
        <w:tabs>
          <w:tab w:val="left" w:pos="720"/>
          <w:tab w:val="left" w:pos="1680"/>
        </w:tabs>
        <w:spacing w:line="360" w:lineRule="auto"/>
        <w:ind w:left="720" w:hanging="360"/>
        <w:rPr>
          <w:rFonts w:ascii="宋体" w:cs="Times New Roman"/>
        </w:rPr>
      </w:pPr>
      <w:r>
        <w:rPr>
          <w:rFonts w:hint="eastAsia" w:ascii="宋体" w:hAnsi="宋体" w:cs="宋体"/>
        </w:rPr>
        <w:t>报价的小数点后保留两位有效数。</w:t>
      </w:r>
    </w:p>
    <w:p>
      <w:pPr>
        <w:numPr>
          <w:ilvl w:val="3"/>
          <w:numId w:val="7"/>
        </w:numPr>
        <w:tabs>
          <w:tab w:val="left" w:pos="720"/>
          <w:tab w:val="left" w:pos="1680"/>
        </w:tabs>
        <w:spacing w:line="360" w:lineRule="auto"/>
        <w:ind w:left="720" w:hanging="360"/>
        <w:rPr>
          <w:rFonts w:ascii="宋体" w:cs="Times New Roman"/>
        </w:rPr>
      </w:pPr>
      <w:r>
        <w:rPr>
          <w:rFonts w:hint="eastAsia" w:ascii="宋体" w:hAnsi="宋体" w:cs="宋体"/>
        </w:rPr>
        <w:t>报价中必须包含货物及零配件的购置和安装、运输保险、装卸、培训辅导、质保期售后服务、全额含税发票、雇员费用、合同实施过程中应预见和不可预见费用等。所有价格均应以人民币报价，金额单位为元。</w:t>
      </w:r>
    </w:p>
    <w:p>
      <w:pPr>
        <w:pStyle w:val="2"/>
        <w:ind w:firstLine="210"/>
        <w:rPr>
          <w:rFonts w:ascii="宋体" w:cs="Times New Roman"/>
        </w:rPr>
      </w:pPr>
    </w:p>
    <w:p>
      <w:pPr>
        <w:pStyle w:val="2"/>
        <w:ind w:firstLine="210"/>
        <w:rPr>
          <w:rFonts w:ascii="宋体" w:cs="Times New Roman"/>
        </w:rPr>
      </w:pPr>
    </w:p>
    <w:p>
      <w:pPr>
        <w:pStyle w:val="2"/>
        <w:ind w:firstLine="0" w:firstLineChars="0"/>
        <w:rPr>
          <w:rFonts w:ascii="宋体" w:cs="Times New Roman"/>
        </w:rPr>
      </w:pPr>
    </w:p>
    <w:p>
      <w:pPr>
        <w:spacing w:line="480" w:lineRule="auto"/>
        <w:rPr>
          <w:rFonts w:cs="Times New Roman"/>
        </w:rPr>
      </w:pPr>
      <w:r>
        <w:rPr>
          <w:rFonts w:hint="eastAsia" w:cs="宋体"/>
        </w:rPr>
        <w:t>供应商法定代表人（或法定代表人授权代表）签字或盖私章：</w:t>
      </w:r>
    </w:p>
    <w:p>
      <w:pPr>
        <w:spacing w:line="480" w:lineRule="auto"/>
        <w:rPr>
          <w:rFonts w:cs="Times New Roman"/>
        </w:rPr>
      </w:pPr>
      <w:r>
        <w:rPr>
          <w:rFonts w:hint="eastAsia" w:cs="宋体"/>
        </w:rPr>
        <w:t>供应商名称（盖公章）：</w:t>
      </w:r>
      <w:r>
        <w:t xml:space="preserve"> </w:t>
      </w:r>
    </w:p>
    <w:p>
      <w:pPr>
        <w:spacing w:line="480" w:lineRule="auto"/>
        <w:rPr>
          <w:rFonts w:cs="Times New Roman"/>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pPr>
        <w:numPr>
          <w:ilvl w:val="0"/>
          <w:numId w:val="5"/>
        </w:numPr>
        <w:spacing w:line="400" w:lineRule="exact"/>
        <w:rPr>
          <w:rFonts w:ascii="黑体" w:hAnsi="Times New Roman" w:eastAsia="黑体" w:cs="黑体"/>
          <w:sz w:val="28"/>
          <w:szCs w:val="28"/>
        </w:rPr>
      </w:pPr>
      <w:r>
        <w:br w:type="page"/>
      </w:r>
      <w:bookmarkEnd w:id="88"/>
      <w:bookmarkEnd w:id="89"/>
      <w:bookmarkEnd w:id="90"/>
    </w:p>
    <w:p>
      <w:pPr>
        <w:spacing w:line="400" w:lineRule="exact"/>
        <w:rPr>
          <w:rFonts w:ascii="黑体" w:hAnsi="Times New Roman" w:eastAsia="黑体" w:cs="黑体"/>
          <w:sz w:val="28"/>
          <w:szCs w:val="28"/>
        </w:rPr>
      </w:pPr>
      <w:r>
        <w:rPr>
          <w:rFonts w:hint="eastAsia" w:ascii="黑体" w:hAnsi="Times New Roman" w:eastAsia="黑体" w:cs="黑体"/>
          <w:sz w:val="28"/>
          <w:szCs w:val="28"/>
        </w:rPr>
        <w:t>格式7</w:t>
      </w:r>
    </w:p>
    <w:p>
      <w:pPr>
        <w:pStyle w:val="3"/>
        <w:spacing w:line="360" w:lineRule="auto"/>
        <w:jc w:val="center"/>
        <w:rPr>
          <w:sz w:val="28"/>
          <w:szCs w:val="28"/>
        </w:rPr>
      </w:pPr>
      <w:r>
        <w:rPr>
          <w:rFonts w:hint="eastAsia" w:ascii="宋体" w:hAnsi="宋体" w:cs="宋体"/>
          <w:sz w:val="32"/>
          <w:szCs w:val="32"/>
        </w:rPr>
        <w:t>报价明细表</w:t>
      </w:r>
    </w:p>
    <w:p>
      <w:pPr>
        <w:ind w:firstLine="2168" w:firstLineChars="900"/>
        <w:rPr>
          <w:b/>
          <w:bCs/>
          <w:sz w:val="24"/>
        </w:rPr>
      </w:pPr>
      <w:r>
        <w:rPr>
          <w:rFonts w:hint="eastAsia"/>
          <w:b/>
          <w:bCs/>
          <w:sz w:val="24"/>
        </w:rPr>
        <w:t>（一）</w:t>
      </w:r>
      <w:r>
        <w:rPr>
          <w:rFonts w:hint="eastAsia" w:ascii="宋体" w:hAnsi="宋体" w:cs="宋体"/>
          <w:b/>
          <w:sz w:val="24"/>
          <w:szCs w:val="24"/>
        </w:rPr>
        <w:t>高压预防性试验</w:t>
      </w:r>
      <w:r>
        <w:rPr>
          <w:rFonts w:hint="eastAsia"/>
          <w:b/>
          <w:bCs/>
          <w:sz w:val="24"/>
        </w:rPr>
        <w:t>清单及收费金额</w:t>
      </w:r>
    </w:p>
    <w:tbl>
      <w:tblPr>
        <w:tblStyle w:val="35"/>
        <w:tblpPr w:leftFromText="180" w:rightFromText="180" w:vertAnchor="text" w:horzAnchor="page" w:tblpX="874" w:tblpY="156"/>
        <w:tblOverlap w:val="never"/>
        <w:tblW w:w="10324" w:type="dxa"/>
        <w:tblInd w:w="0" w:type="dxa"/>
        <w:tblLayout w:type="fixed"/>
        <w:tblCellMar>
          <w:top w:w="0" w:type="dxa"/>
          <w:left w:w="108" w:type="dxa"/>
          <w:bottom w:w="0" w:type="dxa"/>
          <w:right w:w="108" w:type="dxa"/>
        </w:tblCellMar>
      </w:tblPr>
      <w:tblGrid>
        <w:gridCol w:w="644"/>
        <w:gridCol w:w="1895"/>
        <w:gridCol w:w="1080"/>
        <w:gridCol w:w="1185"/>
        <w:gridCol w:w="1530"/>
        <w:gridCol w:w="1860"/>
        <w:gridCol w:w="2130"/>
      </w:tblGrid>
      <w:tr>
        <w:tblPrEx>
          <w:tblCellMar>
            <w:top w:w="0" w:type="dxa"/>
            <w:left w:w="108" w:type="dxa"/>
            <w:bottom w:w="0" w:type="dxa"/>
            <w:right w:w="108" w:type="dxa"/>
          </w:tblCellMar>
        </w:tblPrEx>
        <w:trPr>
          <w:trHeight w:val="420" w:hRule="atLeast"/>
        </w:trPr>
        <w:tc>
          <w:tcPr>
            <w:tcW w:w="10324"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lang w:bidi="ar"/>
              </w:rPr>
              <w:t>新校区（大学西路157号）</w:t>
            </w:r>
          </w:p>
        </w:tc>
      </w:tr>
      <w:tr>
        <w:tblPrEx>
          <w:tblCellMar>
            <w:top w:w="0" w:type="dxa"/>
            <w:left w:w="108" w:type="dxa"/>
            <w:bottom w:w="0" w:type="dxa"/>
            <w:right w:w="108" w:type="dxa"/>
          </w:tblCellMar>
        </w:tblPrEx>
        <w:trPr>
          <w:trHeight w:val="400" w:hRule="atLeast"/>
        </w:trPr>
        <w:tc>
          <w:tcPr>
            <w:tcW w:w="644" w:type="dxa"/>
            <w:tcBorders>
              <w:top w:val="single" w:color="000000" w:sz="4" w:space="0"/>
              <w:left w:val="single" w:color="000000" w:sz="4" w:space="0"/>
              <w:bottom w:val="single" w:color="000000" w:sz="4" w:space="0"/>
              <w:right w:val="single" w:color="000000" w:sz="4" w:space="0"/>
            </w:tcBorders>
            <w:vAlign w:val="center"/>
          </w:tcPr>
          <w:p>
            <w:pPr>
              <w:jc w:val="center"/>
              <w:rPr>
                <w:bCs/>
                <w:color w:val="000000"/>
              </w:rPr>
            </w:pPr>
            <w:r>
              <w:rPr>
                <w:rFonts w:hint="eastAsia"/>
                <w:bCs/>
                <w:color w:val="000000"/>
              </w:rPr>
              <w:t>序号</w:t>
            </w:r>
          </w:p>
        </w:tc>
        <w:tc>
          <w:tcPr>
            <w:tcW w:w="1895" w:type="dxa"/>
            <w:tcBorders>
              <w:top w:val="single" w:color="000000" w:sz="4" w:space="0"/>
              <w:left w:val="single" w:color="000000" w:sz="4" w:space="0"/>
              <w:bottom w:val="single" w:color="000000" w:sz="4" w:space="0"/>
              <w:right w:val="single" w:color="000000" w:sz="4" w:space="0"/>
            </w:tcBorders>
            <w:vAlign w:val="center"/>
          </w:tcPr>
          <w:p>
            <w:pPr>
              <w:jc w:val="center"/>
              <w:rPr>
                <w:bCs/>
                <w:color w:val="000000"/>
              </w:rPr>
            </w:pPr>
            <w:r>
              <w:rPr>
                <w:rFonts w:hint="eastAsia"/>
                <w:bCs/>
                <w:color w:val="000000"/>
              </w:rPr>
              <w:t>设备名称</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bCs/>
                <w:color w:val="000000"/>
              </w:rPr>
            </w:pPr>
            <w:r>
              <w:rPr>
                <w:rFonts w:hint="eastAsia"/>
                <w:bCs/>
                <w:color w:val="000000"/>
              </w:rPr>
              <w:t>数量</w:t>
            </w: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bCs/>
                <w:color w:val="000000"/>
              </w:rPr>
            </w:pPr>
            <w:r>
              <w:rPr>
                <w:rFonts w:hint="eastAsia"/>
                <w:bCs/>
                <w:color w:val="000000"/>
              </w:rPr>
              <w:t>单位</w:t>
            </w: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bCs/>
                <w:color w:val="000000"/>
              </w:rPr>
            </w:pPr>
            <w:r>
              <w:rPr>
                <w:rFonts w:hint="eastAsia"/>
                <w:bCs/>
                <w:color w:val="000000"/>
              </w:rPr>
              <w:t>单价（元）</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bCs/>
                <w:color w:val="000000"/>
              </w:rPr>
            </w:pPr>
            <w:r>
              <w:rPr>
                <w:rFonts w:hint="eastAsia"/>
                <w:bCs/>
                <w:color w:val="000000"/>
              </w:rPr>
              <w:t>收费金额（元）</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备注</w:t>
            </w:r>
          </w:p>
        </w:tc>
      </w:tr>
      <w:tr>
        <w:tblPrEx>
          <w:tblCellMar>
            <w:top w:w="0" w:type="dxa"/>
            <w:left w:w="108" w:type="dxa"/>
            <w:bottom w:w="0" w:type="dxa"/>
            <w:right w:w="108" w:type="dxa"/>
          </w:tblCellMar>
        </w:tblPrEx>
        <w:trPr>
          <w:trHeight w:val="320" w:hRule="atLeast"/>
        </w:trPr>
        <w:tc>
          <w:tcPr>
            <w:tcW w:w="6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1</w:t>
            </w:r>
          </w:p>
        </w:tc>
        <w:tc>
          <w:tcPr>
            <w:tcW w:w="18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500KVA变压器</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1</w:t>
            </w: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台</w:t>
            </w: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21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一次性服务</w:t>
            </w:r>
          </w:p>
        </w:tc>
      </w:tr>
      <w:tr>
        <w:tblPrEx>
          <w:tblCellMar>
            <w:top w:w="0" w:type="dxa"/>
            <w:left w:w="108" w:type="dxa"/>
            <w:bottom w:w="0" w:type="dxa"/>
            <w:right w:w="108" w:type="dxa"/>
          </w:tblCellMar>
        </w:tblPrEx>
        <w:trPr>
          <w:trHeight w:val="320" w:hRule="atLeast"/>
        </w:trPr>
        <w:tc>
          <w:tcPr>
            <w:tcW w:w="6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2</w:t>
            </w:r>
          </w:p>
        </w:tc>
        <w:tc>
          <w:tcPr>
            <w:tcW w:w="18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800KVA变压器</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4</w:t>
            </w: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台</w:t>
            </w: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21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20" w:hRule="atLeast"/>
        </w:trPr>
        <w:tc>
          <w:tcPr>
            <w:tcW w:w="6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3</w:t>
            </w:r>
          </w:p>
        </w:tc>
        <w:tc>
          <w:tcPr>
            <w:tcW w:w="18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1000kVA变压器</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7</w:t>
            </w: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台</w:t>
            </w: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21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20" w:hRule="atLeast"/>
        </w:trPr>
        <w:tc>
          <w:tcPr>
            <w:tcW w:w="6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4</w:t>
            </w:r>
          </w:p>
        </w:tc>
        <w:tc>
          <w:tcPr>
            <w:tcW w:w="18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1600kVA变压器</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3</w:t>
            </w: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台</w:t>
            </w: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21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20" w:hRule="atLeast"/>
        </w:trPr>
        <w:tc>
          <w:tcPr>
            <w:tcW w:w="6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5</w:t>
            </w:r>
          </w:p>
        </w:tc>
        <w:tc>
          <w:tcPr>
            <w:tcW w:w="18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高压盘柜</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34</w:t>
            </w: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面</w:t>
            </w: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21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20" w:hRule="atLeast"/>
        </w:trPr>
        <w:tc>
          <w:tcPr>
            <w:tcW w:w="6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6</w:t>
            </w:r>
          </w:p>
        </w:tc>
        <w:tc>
          <w:tcPr>
            <w:tcW w:w="18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断路器</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13</w:t>
            </w: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台</w:t>
            </w: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21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20" w:hRule="atLeast"/>
        </w:trPr>
        <w:tc>
          <w:tcPr>
            <w:tcW w:w="6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7</w:t>
            </w:r>
          </w:p>
        </w:tc>
        <w:tc>
          <w:tcPr>
            <w:tcW w:w="18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继电保护</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17</w:t>
            </w: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组</w:t>
            </w: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21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20" w:hRule="atLeast"/>
        </w:trPr>
        <w:tc>
          <w:tcPr>
            <w:tcW w:w="6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8</w:t>
            </w:r>
          </w:p>
        </w:tc>
        <w:tc>
          <w:tcPr>
            <w:tcW w:w="18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高压出线电缆</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25</w:t>
            </w: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条</w:t>
            </w: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21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20" w:hRule="atLeast"/>
        </w:trPr>
        <w:tc>
          <w:tcPr>
            <w:tcW w:w="6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9</w:t>
            </w:r>
          </w:p>
        </w:tc>
        <w:tc>
          <w:tcPr>
            <w:tcW w:w="18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蓄电池组</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1</w:t>
            </w: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组</w:t>
            </w: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21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20" w:hRule="atLeast"/>
        </w:trPr>
        <w:tc>
          <w:tcPr>
            <w:tcW w:w="6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10</w:t>
            </w:r>
          </w:p>
        </w:tc>
        <w:tc>
          <w:tcPr>
            <w:tcW w:w="18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开闭所间隔</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3</w:t>
            </w: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个</w:t>
            </w: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21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20" w:hRule="atLeast"/>
        </w:trPr>
        <w:tc>
          <w:tcPr>
            <w:tcW w:w="6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11</w:t>
            </w:r>
          </w:p>
        </w:tc>
        <w:tc>
          <w:tcPr>
            <w:tcW w:w="18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试验电源</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1</w:t>
            </w: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次</w:t>
            </w: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Cs/>
                <w:color w:val="000000"/>
              </w:rPr>
            </w:pPr>
          </w:p>
        </w:tc>
        <w:tc>
          <w:tcPr>
            <w:tcW w:w="21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20" w:hRule="atLeast"/>
        </w:trPr>
        <w:tc>
          <w:tcPr>
            <w:tcW w:w="6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12</w:t>
            </w:r>
          </w:p>
        </w:tc>
        <w:tc>
          <w:tcPr>
            <w:tcW w:w="18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台班费</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1</w:t>
            </w: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次</w:t>
            </w: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21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20" w:hRule="atLeast"/>
        </w:trPr>
        <w:tc>
          <w:tcPr>
            <w:tcW w:w="6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18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合计</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21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40" w:hRule="atLeast"/>
        </w:trPr>
        <w:tc>
          <w:tcPr>
            <w:tcW w:w="10324"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lang w:bidi="ar"/>
              </w:rPr>
              <w:t>一轻校区（明秀西路153号）</w:t>
            </w:r>
          </w:p>
        </w:tc>
      </w:tr>
      <w:tr>
        <w:tblPrEx>
          <w:tblCellMar>
            <w:top w:w="0" w:type="dxa"/>
            <w:left w:w="108" w:type="dxa"/>
            <w:bottom w:w="0" w:type="dxa"/>
            <w:right w:w="108" w:type="dxa"/>
          </w:tblCellMar>
        </w:tblPrEx>
        <w:trPr>
          <w:trHeight w:val="320" w:hRule="atLeast"/>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Cs/>
                <w:color w:val="000000"/>
              </w:rPr>
            </w:pPr>
            <w:r>
              <w:rPr>
                <w:rFonts w:hint="eastAsia"/>
                <w:bCs/>
                <w:color w:val="000000"/>
              </w:rPr>
              <w:t>序号</w:t>
            </w:r>
          </w:p>
        </w:tc>
        <w:tc>
          <w:tcPr>
            <w:tcW w:w="18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Cs/>
                <w:color w:val="000000"/>
              </w:rPr>
            </w:pPr>
            <w:r>
              <w:rPr>
                <w:rFonts w:hint="eastAsia"/>
                <w:bCs/>
                <w:color w:val="000000"/>
              </w:rPr>
              <w:t>设备名称</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Cs/>
                <w:color w:val="000000"/>
              </w:rPr>
            </w:pPr>
            <w:r>
              <w:rPr>
                <w:rFonts w:hint="eastAsia"/>
                <w:bCs/>
                <w:color w:val="000000"/>
              </w:rPr>
              <w:t>数量</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Cs/>
                <w:color w:val="000000"/>
              </w:rPr>
            </w:pPr>
            <w:r>
              <w:rPr>
                <w:rFonts w:hint="eastAsia"/>
                <w:bCs/>
                <w:color w:val="000000"/>
              </w:rPr>
              <w:t>单位</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Cs/>
                <w:color w:val="000000"/>
              </w:rPr>
            </w:pPr>
            <w:r>
              <w:rPr>
                <w:rFonts w:hint="eastAsia"/>
                <w:bCs/>
                <w:color w:val="000000"/>
              </w:rPr>
              <w:t>单价（元）</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Cs/>
                <w:color w:val="000000"/>
              </w:rPr>
            </w:pPr>
            <w:r>
              <w:rPr>
                <w:rFonts w:hint="eastAsia"/>
                <w:bCs/>
                <w:color w:val="000000"/>
              </w:rPr>
              <w:t>收费金额（元）</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备注</w:t>
            </w:r>
          </w:p>
        </w:tc>
      </w:tr>
      <w:tr>
        <w:tblPrEx>
          <w:tblCellMar>
            <w:top w:w="0" w:type="dxa"/>
            <w:left w:w="108" w:type="dxa"/>
            <w:bottom w:w="0" w:type="dxa"/>
            <w:right w:w="108" w:type="dxa"/>
          </w:tblCellMar>
        </w:tblPrEx>
        <w:trPr>
          <w:trHeight w:val="320" w:hRule="atLeast"/>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1</w:t>
            </w:r>
          </w:p>
        </w:tc>
        <w:tc>
          <w:tcPr>
            <w:tcW w:w="18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250kVA变压器</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台</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p>
        </w:tc>
        <w:tc>
          <w:tcPr>
            <w:tcW w:w="21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一次性服务</w:t>
            </w:r>
          </w:p>
        </w:tc>
      </w:tr>
      <w:tr>
        <w:tblPrEx>
          <w:tblCellMar>
            <w:top w:w="0" w:type="dxa"/>
            <w:left w:w="108" w:type="dxa"/>
            <w:bottom w:w="0" w:type="dxa"/>
            <w:right w:w="108" w:type="dxa"/>
          </w:tblCellMar>
        </w:tblPrEx>
        <w:trPr>
          <w:trHeight w:val="320" w:hRule="atLeast"/>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2</w:t>
            </w:r>
          </w:p>
        </w:tc>
        <w:tc>
          <w:tcPr>
            <w:tcW w:w="18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高压盘柜</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面</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p>
        </w:tc>
        <w:tc>
          <w:tcPr>
            <w:tcW w:w="21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20" w:hRule="atLeast"/>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3</w:t>
            </w:r>
          </w:p>
        </w:tc>
        <w:tc>
          <w:tcPr>
            <w:tcW w:w="18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变压器油样</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份</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p>
        </w:tc>
        <w:tc>
          <w:tcPr>
            <w:tcW w:w="21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20" w:hRule="atLeast"/>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4</w:t>
            </w:r>
          </w:p>
        </w:tc>
        <w:tc>
          <w:tcPr>
            <w:tcW w:w="18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试验电源</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次</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p>
        </w:tc>
        <w:tc>
          <w:tcPr>
            <w:tcW w:w="21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20" w:hRule="atLeast"/>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5</w:t>
            </w:r>
          </w:p>
        </w:tc>
        <w:tc>
          <w:tcPr>
            <w:tcW w:w="18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台班费</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次</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p>
        </w:tc>
        <w:tc>
          <w:tcPr>
            <w:tcW w:w="21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20" w:hRule="atLeast"/>
        </w:trPr>
        <w:tc>
          <w:tcPr>
            <w:tcW w:w="6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18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合计</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p>
        </w:tc>
        <w:tc>
          <w:tcPr>
            <w:tcW w:w="21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00" w:hRule="atLeast"/>
        </w:trPr>
        <w:tc>
          <w:tcPr>
            <w:tcW w:w="10324"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lang w:bidi="ar"/>
              </w:rPr>
              <w:t>南技校区（五一西路5号）</w:t>
            </w:r>
          </w:p>
        </w:tc>
      </w:tr>
      <w:tr>
        <w:tblPrEx>
          <w:tblCellMar>
            <w:top w:w="0" w:type="dxa"/>
            <w:left w:w="108" w:type="dxa"/>
            <w:bottom w:w="0" w:type="dxa"/>
            <w:right w:w="108" w:type="dxa"/>
          </w:tblCellMar>
        </w:tblPrEx>
        <w:trPr>
          <w:trHeight w:val="400" w:hRule="atLeast"/>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Cs/>
                <w:color w:val="000000"/>
              </w:rPr>
            </w:pPr>
            <w:r>
              <w:rPr>
                <w:rFonts w:hint="eastAsia"/>
                <w:bCs/>
                <w:color w:val="000000"/>
              </w:rPr>
              <w:t>序号</w:t>
            </w:r>
          </w:p>
        </w:tc>
        <w:tc>
          <w:tcPr>
            <w:tcW w:w="18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Cs/>
                <w:color w:val="000000"/>
              </w:rPr>
            </w:pPr>
            <w:r>
              <w:rPr>
                <w:rFonts w:hint="eastAsia"/>
                <w:bCs/>
                <w:color w:val="000000"/>
              </w:rPr>
              <w:t>设备名称</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Cs/>
                <w:color w:val="000000"/>
              </w:rPr>
            </w:pPr>
            <w:r>
              <w:rPr>
                <w:rFonts w:hint="eastAsia"/>
                <w:bCs/>
                <w:color w:val="000000"/>
              </w:rPr>
              <w:t>数量</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Cs/>
                <w:color w:val="000000"/>
              </w:rPr>
            </w:pPr>
            <w:r>
              <w:rPr>
                <w:rFonts w:hint="eastAsia"/>
                <w:bCs/>
                <w:color w:val="000000"/>
              </w:rPr>
              <w:t>单位</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Cs/>
                <w:color w:val="000000"/>
              </w:rPr>
            </w:pPr>
            <w:r>
              <w:rPr>
                <w:rFonts w:hint="eastAsia"/>
                <w:bCs/>
                <w:color w:val="000000"/>
              </w:rPr>
              <w:t>单价（元）</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Cs/>
                <w:color w:val="000000"/>
              </w:rPr>
            </w:pPr>
            <w:r>
              <w:rPr>
                <w:rFonts w:hint="eastAsia"/>
                <w:bCs/>
                <w:color w:val="000000"/>
              </w:rPr>
              <w:t>收费金额（元）</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备注</w:t>
            </w:r>
          </w:p>
        </w:tc>
      </w:tr>
      <w:tr>
        <w:tblPrEx>
          <w:tblCellMar>
            <w:top w:w="0" w:type="dxa"/>
            <w:left w:w="108" w:type="dxa"/>
            <w:bottom w:w="0" w:type="dxa"/>
            <w:right w:w="108" w:type="dxa"/>
          </w:tblCellMar>
        </w:tblPrEx>
        <w:trPr>
          <w:trHeight w:val="400" w:hRule="atLeast"/>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1</w:t>
            </w:r>
          </w:p>
        </w:tc>
        <w:tc>
          <w:tcPr>
            <w:tcW w:w="18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400kVA变压器</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2</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台</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p>
        </w:tc>
        <w:tc>
          <w:tcPr>
            <w:tcW w:w="21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rPr>
              <w:t>一次性</w:t>
            </w:r>
            <w:r>
              <w:rPr>
                <w:rFonts w:hint="eastAsia" w:ascii="宋体" w:hAnsi="宋体" w:cs="宋体"/>
                <w:color w:val="000000"/>
                <w:sz w:val="20"/>
                <w:szCs w:val="20"/>
                <w:lang w:eastAsia="zh-CN"/>
              </w:rPr>
              <w:t>服务</w:t>
            </w:r>
          </w:p>
        </w:tc>
      </w:tr>
      <w:tr>
        <w:tblPrEx>
          <w:tblCellMar>
            <w:top w:w="0" w:type="dxa"/>
            <w:left w:w="108" w:type="dxa"/>
            <w:bottom w:w="0" w:type="dxa"/>
            <w:right w:w="108" w:type="dxa"/>
          </w:tblCellMar>
        </w:tblPrEx>
        <w:trPr>
          <w:trHeight w:val="400" w:hRule="atLeast"/>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2</w:t>
            </w:r>
          </w:p>
        </w:tc>
        <w:tc>
          <w:tcPr>
            <w:tcW w:w="18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高压盘柜</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5</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面</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p>
        </w:tc>
        <w:tc>
          <w:tcPr>
            <w:tcW w:w="21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00" w:hRule="atLeast"/>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3</w:t>
            </w:r>
          </w:p>
        </w:tc>
        <w:tc>
          <w:tcPr>
            <w:tcW w:w="18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高压出线电缆</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2</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条</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p>
        </w:tc>
        <w:tc>
          <w:tcPr>
            <w:tcW w:w="21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00" w:hRule="atLeast"/>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4</w:t>
            </w:r>
          </w:p>
        </w:tc>
        <w:tc>
          <w:tcPr>
            <w:tcW w:w="18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变压器油样</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2</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份</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p>
        </w:tc>
        <w:tc>
          <w:tcPr>
            <w:tcW w:w="21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00" w:hRule="atLeast"/>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5</w:t>
            </w:r>
          </w:p>
        </w:tc>
        <w:tc>
          <w:tcPr>
            <w:tcW w:w="18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试验电源</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次</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p>
        </w:tc>
        <w:tc>
          <w:tcPr>
            <w:tcW w:w="21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00" w:hRule="atLeast"/>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6</w:t>
            </w:r>
          </w:p>
        </w:tc>
        <w:tc>
          <w:tcPr>
            <w:tcW w:w="18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台班费</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次</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p>
        </w:tc>
        <w:tc>
          <w:tcPr>
            <w:tcW w:w="21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00" w:hRule="atLeast"/>
        </w:trPr>
        <w:tc>
          <w:tcPr>
            <w:tcW w:w="6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18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合计</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rPr>
            </w:pPr>
          </w:p>
        </w:tc>
        <w:tc>
          <w:tcPr>
            <w:tcW w:w="21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r>
    </w:tbl>
    <w:p>
      <w:pPr>
        <w:rPr>
          <w:bCs/>
        </w:rPr>
      </w:pPr>
    </w:p>
    <w:p>
      <w:pPr>
        <w:rPr>
          <w:b/>
          <w:sz w:val="22"/>
          <w:szCs w:val="28"/>
        </w:rPr>
      </w:pPr>
      <w:r>
        <w:rPr>
          <w:rFonts w:hint="eastAsia"/>
          <w:bCs/>
        </w:rPr>
        <w:t xml:space="preserve"> </w:t>
      </w:r>
      <w:r>
        <w:rPr>
          <w:rFonts w:hint="eastAsia"/>
          <w:b/>
          <w:sz w:val="22"/>
          <w:szCs w:val="28"/>
        </w:rPr>
        <w:t>注：上述报价不包含更换设备材料费、安装服务费等。</w:t>
      </w:r>
    </w:p>
    <w:p>
      <w:pPr>
        <w:pStyle w:val="15"/>
        <w:snapToGrid w:val="0"/>
        <w:spacing w:after="0"/>
        <w:ind w:left="1260" w:leftChars="600" w:firstLine="241" w:firstLineChars="100"/>
        <w:rPr>
          <w:rFonts w:ascii="Calibri" w:hAnsi="Calibri" w:cs="Calibri"/>
          <w:b/>
          <w:bCs/>
          <w:sz w:val="24"/>
        </w:rPr>
      </w:pPr>
    </w:p>
    <w:p>
      <w:pPr>
        <w:pStyle w:val="15"/>
        <w:snapToGrid w:val="0"/>
        <w:spacing w:after="0"/>
        <w:ind w:left="1260" w:leftChars="600" w:firstLine="241" w:firstLineChars="100"/>
        <w:rPr>
          <w:rFonts w:ascii="Calibri" w:hAnsi="Calibri" w:cs="Calibri"/>
          <w:b/>
          <w:bCs/>
          <w:sz w:val="24"/>
        </w:rPr>
      </w:pPr>
    </w:p>
    <w:p>
      <w:pPr>
        <w:pStyle w:val="15"/>
        <w:snapToGrid w:val="0"/>
        <w:spacing w:after="0"/>
        <w:ind w:left="1260" w:leftChars="600" w:firstLine="241" w:firstLineChars="100"/>
        <w:rPr>
          <w:rFonts w:ascii="Calibri" w:hAnsi="Calibri" w:cs="Calibri"/>
          <w:b/>
          <w:bCs/>
          <w:sz w:val="24"/>
        </w:rPr>
      </w:pPr>
    </w:p>
    <w:p>
      <w:pPr>
        <w:pStyle w:val="15"/>
        <w:snapToGrid w:val="0"/>
        <w:spacing w:after="0"/>
        <w:rPr>
          <w:rFonts w:ascii="Calibri" w:hAnsi="Calibri" w:cs="Calibri"/>
          <w:b/>
          <w:bCs/>
          <w:sz w:val="24"/>
        </w:rPr>
      </w:pPr>
    </w:p>
    <w:p>
      <w:pPr>
        <w:pStyle w:val="15"/>
        <w:snapToGrid w:val="0"/>
        <w:spacing w:after="0"/>
        <w:ind w:left="1260" w:leftChars="600" w:firstLine="241" w:firstLineChars="100"/>
        <w:rPr>
          <w:rFonts w:ascii="Calibri" w:hAnsi="Calibri" w:cs="Calibri"/>
          <w:b/>
          <w:bCs/>
          <w:sz w:val="24"/>
        </w:rPr>
      </w:pPr>
    </w:p>
    <w:p>
      <w:pPr>
        <w:pStyle w:val="15"/>
        <w:snapToGrid w:val="0"/>
        <w:spacing w:after="0"/>
        <w:ind w:left="1260" w:leftChars="600" w:firstLine="241" w:firstLineChars="100"/>
        <w:rPr>
          <w:rFonts w:ascii="Calibri" w:hAnsi="Calibri" w:cs="Calibri"/>
          <w:b/>
          <w:bCs/>
          <w:sz w:val="24"/>
        </w:rPr>
      </w:pPr>
    </w:p>
    <w:p>
      <w:pPr>
        <w:pStyle w:val="15"/>
        <w:snapToGrid w:val="0"/>
        <w:spacing w:after="0"/>
        <w:ind w:left="1260" w:leftChars="600" w:firstLine="241" w:firstLineChars="100"/>
      </w:pPr>
      <w:r>
        <w:rPr>
          <w:rFonts w:hint="eastAsia" w:ascii="Calibri" w:hAnsi="Calibri" w:cs="Calibri"/>
          <w:b/>
          <w:bCs/>
          <w:sz w:val="24"/>
        </w:rPr>
        <w:t>（二）变压器维护收费清单（一年4次 每季度一次）</w:t>
      </w:r>
    </w:p>
    <w:tbl>
      <w:tblPr>
        <w:tblStyle w:val="35"/>
        <w:tblpPr w:leftFromText="180" w:rightFromText="180" w:vertAnchor="text" w:horzAnchor="page" w:tblpX="874" w:tblpY="156"/>
        <w:tblOverlap w:val="never"/>
        <w:tblW w:w="10324" w:type="dxa"/>
        <w:tblInd w:w="0" w:type="dxa"/>
        <w:tblLayout w:type="fixed"/>
        <w:tblCellMar>
          <w:top w:w="0" w:type="dxa"/>
          <w:left w:w="108" w:type="dxa"/>
          <w:bottom w:w="0" w:type="dxa"/>
          <w:right w:w="108" w:type="dxa"/>
        </w:tblCellMar>
      </w:tblPr>
      <w:tblGrid>
        <w:gridCol w:w="644"/>
        <w:gridCol w:w="1895"/>
        <w:gridCol w:w="1080"/>
        <w:gridCol w:w="1185"/>
        <w:gridCol w:w="1530"/>
        <w:gridCol w:w="1860"/>
        <w:gridCol w:w="2130"/>
      </w:tblGrid>
      <w:tr>
        <w:tblPrEx>
          <w:tblCellMar>
            <w:top w:w="0" w:type="dxa"/>
            <w:left w:w="108" w:type="dxa"/>
            <w:bottom w:w="0" w:type="dxa"/>
            <w:right w:w="108" w:type="dxa"/>
          </w:tblCellMar>
        </w:tblPrEx>
        <w:trPr>
          <w:trHeight w:val="420" w:hRule="atLeast"/>
        </w:trPr>
        <w:tc>
          <w:tcPr>
            <w:tcW w:w="10324"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lang w:bidi="ar"/>
              </w:rPr>
              <w:t>新校区（大学西路157号）</w:t>
            </w:r>
          </w:p>
        </w:tc>
      </w:tr>
      <w:tr>
        <w:tblPrEx>
          <w:tblCellMar>
            <w:top w:w="0" w:type="dxa"/>
            <w:left w:w="108" w:type="dxa"/>
            <w:bottom w:w="0" w:type="dxa"/>
            <w:right w:w="108" w:type="dxa"/>
          </w:tblCellMar>
        </w:tblPrEx>
        <w:trPr>
          <w:trHeight w:val="400" w:hRule="atLeast"/>
        </w:trPr>
        <w:tc>
          <w:tcPr>
            <w:tcW w:w="644" w:type="dxa"/>
            <w:tcBorders>
              <w:top w:val="single" w:color="000000" w:sz="4" w:space="0"/>
              <w:left w:val="single" w:color="000000" w:sz="4" w:space="0"/>
              <w:bottom w:val="single" w:color="000000" w:sz="4" w:space="0"/>
              <w:right w:val="single" w:color="000000" w:sz="4" w:space="0"/>
            </w:tcBorders>
            <w:vAlign w:val="center"/>
          </w:tcPr>
          <w:p>
            <w:pPr>
              <w:jc w:val="center"/>
              <w:rPr>
                <w:bCs/>
                <w:color w:val="000000"/>
              </w:rPr>
            </w:pPr>
            <w:r>
              <w:rPr>
                <w:rFonts w:hint="eastAsia"/>
                <w:bCs/>
                <w:color w:val="000000"/>
              </w:rPr>
              <w:t>序号</w:t>
            </w:r>
          </w:p>
        </w:tc>
        <w:tc>
          <w:tcPr>
            <w:tcW w:w="1895" w:type="dxa"/>
            <w:tcBorders>
              <w:top w:val="single" w:color="000000" w:sz="4" w:space="0"/>
              <w:left w:val="single" w:color="000000" w:sz="4" w:space="0"/>
              <w:bottom w:val="single" w:color="000000" w:sz="4" w:space="0"/>
              <w:right w:val="single" w:color="000000" w:sz="4" w:space="0"/>
            </w:tcBorders>
            <w:vAlign w:val="center"/>
          </w:tcPr>
          <w:p>
            <w:pPr>
              <w:jc w:val="center"/>
              <w:rPr>
                <w:bCs/>
                <w:color w:val="000000"/>
              </w:rPr>
            </w:pPr>
            <w:r>
              <w:rPr>
                <w:rFonts w:hint="eastAsia"/>
                <w:bCs/>
                <w:color w:val="000000"/>
              </w:rPr>
              <w:t>设备名称</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bCs/>
                <w:color w:val="000000"/>
              </w:rPr>
            </w:pPr>
            <w:r>
              <w:rPr>
                <w:rFonts w:hint="eastAsia"/>
                <w:bCs/>
                <w:color w:val="000000"/>
              </w:rPr>
              <w:t>数量</w:t>
            </w: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bCs/>
                <w:color w:val="000000"/>
              </w:rPr>
            </w:pPr>
            <w:r>
              <w:rPr>
                <w:rFonts w:hint="eastAsia"/>
                <w:bCs/>
                <w:color w:val="000000"/>
              </w:rPr>
              <w:t>单位</w:t>
            </w: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bCs/>
                <w:color w:val="000000"/>
              </w:rPr>
            </w:pPr>
            <w:r>
              <w:rPr>
                <w:rFonts w:hint="eastAsia"/>
                <w:bCs/>
                <w:color w:val="000000"/>
              </w:rPr>
              <w:t>单价（元）</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bCs/>
                <w:color w:val="000000"/>
              </w:rPr>
            </w:pPr>
            <w:r>
              <w:rPr>
                <w:rFonts w:hint="eastAsia"/>
                <w:bCs/>
                <w:color w:val="000000"/>
              </w:rPr>
              <w:t>收费金额（元）</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备注</w:t>
            </w:r>
          </w:p>
        </w:tc>
      </w:tr>
      <w:tr>
        <w:tblPrEx>
          <w:tblCellMar>
            <w:top w:w="0" w:type="dxa"/>
            <w:left w:w="108" w:type="dxa"/>
            <w:bottom w:w="0" w:type="dxa"/>
            <w:right w:w="108" w:type="dxa"/>
          </w:tblCellMar>
        </w:tblPrEx>
        <w:trPr>
          <w:trHeight w:val="320" w:hRule="atLeast"/>
        </w:trPr>
        <w:tc>
          <w:tcPr>
            <w:tcW w:w="6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1</w:t>
            </w:r>
          </w:p>
        </w:tc>
        <w:tc>
          <w:tcPr>
            <w:tcW w:w="18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500KVA变压器</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1</w:t>
            </w: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台</w:t>
            </w: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21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320" w:hRule="atLeast"/>
        </w:trPr>
        <w:tc>
          <w:tcPr>
            <w:tcW w:w="6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2</w:t>
            </w:r>
          </w:p>
        </w:tc>
        <w:tc>
          <w:tcPr>
            <w:tcW w:w="18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800KVA变压器</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4</w:t>
            </w: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台</w:t>
            </w: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21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20" w:hRule="atLeast"/>
        </w:trPr>
        <w:tc>
          <w:tcPr>
            <w:tcW w:w="6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3</w:t>
            </w:r>
          </w:p>
        </w:tc>
        <w:tc>
          <w:tcPr>
            <w:tcW w:w="18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1000kVA变压器</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7</w:t>
            </w: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台</w:t>
            </w: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21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20" w:hRule="atLeast"/>
        </w:trPr>
        <w:tc>
          <w:tcPr>
            <w:tcW w:w="6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4</w:t>
            </w:r>
          </w:p>
        </w:tc>
        <w:tc>
          <w:tcPr>
            <w:tcW w:w="18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1600kVA变压器</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3</w:t>
            </w: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台</w:t>
            </w: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21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20" w:hRule="atLeast"/>
        </w:trPr>
        <w:tc>
          <w:tcPr>
            <w:tcW w:w="6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5</w:t>
            </w:r>
          </w:p>
        </w:tc>
        <w:tc>
          <w:tcPr>
            <w:tcW w:w="18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高压盘柜</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34</w:t>
            </w: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面</w:t>
            </w: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21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20" w:hRule="atLeast"/>
        </w:trPr>
        <w:tc>
          <w:tcPr>
            <w:tcW w:w="6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6</w:t>
            </w:r>
          </w:p>
        </w:tc>
        <w:tc>
          <w:tcPr>
            <w:tcW w:w="18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断路器</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13</w:t>
            </w: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台</w:t>
            </w: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21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20" w:hRule="atLeast"/>
        </w:trPr>
        <w:tc>
          <w:tcPr>
            <w:tcW w:w="6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7</w:t>
            </w:r>
          </w:p>
        </w:tc>
        <w:tc>
          <w:tcPr>
            <w:tcW w:w="18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继电保护</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17</w:t>
            </w: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组</w:t>
            </w: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21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20" w:hRule="atLeast"/>
        </w:trPr>
        <w:tc>
          <w:tcPr>
            <w:tcW w:w="6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8</w:t>
            </w:r>
          </w:p>
        </w:tc>
        <w:tc>
          <w:tcPr>
            <w:tcW w:w="18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高压出线电缆</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25</w:t>
            </w: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条</w:t>
            </w: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21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20" w:hRule="atLeast"/>
        </w:trPr>
        <w:tc>
          <w:tcPr>
            <w:tcW w:w="6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9</w:t>
            </w:r>
          </w:p>
        </w:tc>
        <w:tc>
          <w:tcPr>
            <w:tcW w:w="18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蓄电池组</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1</w:t>
            </w: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组</w:t>
            </w: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21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20" w:hRule="atLeast"/>
        </w:trPr>
        <w:tc>
          <w:tcPr>
            <w:tcW w:w="6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10</w:t>
            </w:r>
          </w:p>
        </w:tc>
        <w:tc>
          <w:tcPr>
            <w:tcW w:w="18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开闭所间隔</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3</w:t>
            </w: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个</w:t>
            </w: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21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20" w:hRule="atLeast"/>
        </w:trPr>
        <w:tc>
          <w:tcPr>
            <w:tcW w:w="6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18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r>
              <w:rPr>
                <w:rFonts w:hint="eastAsia" w:ascii="宋体" w:hAnsi="宋体" w:cs="宋体"/>
                <w:bCs/>
                <w:color w:val="000000"/>
              </w:rPr>
              <w:t>合计</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21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40" w:hRule="atLeast"/>
        </w:trPr>
        <w:tc>
          <w:tcPr>
            <w:tcW w:w="10324"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lang w:bidi="ar"/>
              </w:rPr>
              <w:t>一轻校区（明秀西路153号）</w:t>
            </w:r>
          </w:p>
        </w:tc>
      </w:tr>
      <w:tr>
        <w:tblPrEx>
          <w:tblCellMar>
            <w:top w:w="0" w:type="dxa"/>
            <w:left w:w="108" w:type="dxa"/>
            <w:bottom w:w="0" w:type="dxa"/>
            <w:right w:w="108" w:type="dxa"/>
          </w:tblCellMar>
        </w:tblPrEx>
        <w:trPr>
          <w:trHeight w:val="320" w:hRule="atLeast"/>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Cs/>
                <w:color w:val="000000"/>
              </w:rPr>
            </w:pPr>
            <w:r>
              <w:rPr>
                <w:rFonts w:hint="eastAsia"/>
                <w:bCs/>
                <w:color w:val="000000"/>
              </w:rPr>
              <w:t>序号</w:t>
            </w:r>
          </w:p>
        </w:tc>
        <w:tc>
          <w:tcPr>
            <w:tcW w:w="18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Cs/>
                <w:color w:val="000000"/>
              </w:rPr>
            </w:pPr>
            <w:r>
              <w:rPr>
                <w:rFonts w:hint="eastAsia"/>
                <w:bCs/>
                <w:color w:val="000000"/>
              </w:rPr>
              <w:t>设备名称</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Cs/>
                <w:color w:val="000000"/>
              </w:rPr>
            </w:pPr>
            <w:r>
              <w:rPr>
                <w:rFonts w:hint="eastAsia"/>
                <w:bCs/>
                <w:color w:val="000000"/>
              </w:rPr>
              <w:t>数量</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Cs/>
                <w:color w:val="000000"/>
              </w:rPr>
            </w:pPr>
            <w:r>
              <w:rPr>
                <w:rFonts w:hint="eastAsia"/>
                <w:bCs/>
                <w:color w:val="000000"/>
              </w:rPr>
              <w:t>单位</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Cs/>
                <w:color w:val="000000"/>
              </w:rPr>
            </w:pPr>
            <w:r>
              <w:rPr>
                <w:rFonts w:hint="eastAsia"/>
                <w:bCs/>
                <w:color w:val="000000"/>
              </w:rPr>
              <w:t>单价（元）</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Cs/>
                <w:color w:val="000000"/>
              </w:rPr>
            </w:pPr>
            <w:r>
              <w:rPr>
                <w:rFonts w:hint="eastAsia"/>
                <w:bCs/>
                <w:color w:val="000000"/>
              </w:rPr>
              <w:t>收费金额（元）</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备注</w:t>
            </w:r>
          </w:p>
        </w:tc>
      </w:tr>
      <w:tr>
        <w:tblPrEx>
          <w:tblCellMar>
            <w:top w:w="0" w:type="dxa"/>
            <w:left w:w="108" w:type="dxa"/>
            <w:bottom w:w="0" w:type="dxa"/>
            <w:right w:w="108" w:type="dxa"/>
          </w:tblCellMar>
        </w:tblPrEx>
        <w:trPr>
          <w:trHeight w:val="320" w:hRule="atLeast"/>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1</w:t>
            </w:r>
          </w:p>
        </w:tc>
        <w:tc>
          <w:tcPr>
            <w:tcW w:w="18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250kVA变压器</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台</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p>
        </w:tc>
        <w:tc>
          <w:tcPr>
            <w:tcW w:w="21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320" w:hRule="atLeast"/>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2</w:t>
            </w:r>
          </w:p>
        </w:tc>
        <w:tc>
          <w:tcPr>
            <w:tcW w:w="18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高压盘柜</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面</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p>
        </w:tc>
        <w:tc>
          <w:tcPr>
            <w:tcW w:w="21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20" w:hRule="atLeast"/>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3</w:t>
            </w:r>
          </w:p>
        </w:tc>
        <w:tc>
          <w:tcPr>
            <w:tcW w:w="18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变压器油样</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份</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p>
        </w:tc>
        <w:tc>
          <w:tcPr>
            <w:tcW w:w="21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20" w:hRule="atLeast"/>
        </w:trPr>
        <w:tc>
          <w:tcPr>
            <w:tcW w:w="6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18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合计</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p>
        </w:tc>
        <w:tc>
          <w:tcPr>
            <w:tcW w:w="21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00" w:hRule="atLeast"/>
        </w:trPr>
        <w:tc>
          <w:tcPr>
            <w:tcW w:w="10324"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lang w:bidi="ar"/>
              </w:rPr>
              <w:t>南技校区（五一西路5号）</w:t>
            </w:r>
          </w:p>
        </w:tc>
      </w:tr>
      <w:tr>
        <w:tblPrEx>
          <w:tblCellMar>
            <w:top w:w="0" w:type="dxa"/>
            <w:left w:w="108" w:type="dxa"/>
            <w:bottom w:w="0" w:type="dxa"/>
            <w:right w:w="108" w:type="dxa"/>
          </w:tblCellMar>
        </w:tblPrEx>
        <w:trPr>
          <w:trHeight w:val="400" w:hRule="atLeast"/>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Cs/>
                <w:color w:val="000000"/>
              </w:rPr>
            </w:pPr>
            <w:r>
              <w:rPr>
                <w:rFonts w:hint="eastAsia"/>
                <w:bCs/>
                <w:color w:val="000000"/>
              </w:rPr>
              <w:t>序号</w:t>
            </w:r>
          </w:p>
        </w:tc>
        <w:tc>
          <w:tcPr>
            <w:tcW w:w="18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Cs/>
                <w:color w:val="000000"/>
              </w:rPr>
            </w:pPr>
            <w:r>
              <w:rPr>
                <w:rFonts w:hint="eastAsia"/>
                <w:bCs/>
                <w:color w:val="000000"/>
              </w:rPr>
              <w:t>设备名称</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Cs/>
                <w:color w:val="000000"/>
              </w:rPr>
            </w:pPr>
            <w:r>
              <w:rPr>
                <w:rFonts w:hint="eastAsia"/>
                <w:bCs/>
                <w:color w:val="000000"/>
              </w:rPr>
              <w:t>数量</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Cs/>
                <w:color w:val="000000"/>
              </w:rPr>
            </w:pPr>
            <w:r>
              <w:rPr>
                <w:rFonts w:hint="eastAsia"/>
                <w:bCs/>
                <w:color w:val="000000"/>
              </w:rPr>
              <w:t>单位</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Cs/>
                <w:color w:val="000000"/>
              </w:rPr>
            </w:pPr>
            <w:r>
              <w:rPr>
                <w:rFonts w:hint="eastAsia"/>
                <w:bCs/>
                <w:color w:val="000000"/>
              </w:rPr>
              <w:t>单价（元）</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Cs/>
                <w:color w:val="000000"/>
              </w:rPr>
            </w:pPr>
            <w:r>
              <w:rPr>
                <w:rFonts w:hint="eastAsia"/>
                <w:bCs/>
                <w:color w:val="000000"/>
              </w:rPr>
              <w:t>收费金额（元）</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备注</w:t>
            </w:r>
          </w:p>
        </w:tc>
      </w:tr>
      <w:tr>
        <w:tblPrEx>
          <w:tblCellMar>
            <w:top w:w="0" w:type="dxa"/>
            <w:left w:w="108" w:type="dxa"/>
            <w:bottom w:w="0" w:type="dxa"/>
            <w:right w:w="108" w:type="dxa"/>
          </w:tblCellMar>
        </w:tblPrEx>
        <w:trPr>
          <w:trHeight w:val="400" w:hRule="atLeast"/>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1</w:t>
            </w:r>
          </w:p>
        </w:tc>
        <w:tc>
          <w:tcPr>
            <w:tcW w:w="18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400kVA变压器</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2</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台</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p>
        </w:tc>
        <w:tc>
          <w:tcPr>
            <w:tcW w:w="21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00" w:hRule="atLeast"/>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2</w:t>
            </w:r>
          </w:p>
        </w:tc>
        <w:tc>
          <w:tcPr>
            <w:tcW w:w="18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高压盘柜</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5</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面</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p>
        </w:tc>
        <w:tc>
          <w:tcPr>
            <w:tcW w:w="21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00" w:hRule="atLeast"/>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3</w:t>
            </w:r>
          </w:p>
        </w:tc>
        <w:tc>
          <w:tcPr>
            <w:tcW w:w="18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高压出线电缆</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2</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条</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p>
        </w:tc>
        <w:tc>
          <w:tcPr>
            <w:tcW w:w="21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00" w:hRule="atLeast"/>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4</w:t>
            </w:r>
          </w:p>
        </w:tc>
        <w:tc>
          <w:tcPr>
            <w:tcW w:w="18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变压器油样</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2</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份</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p>
        </w:tc>
        <w:tc>
          <w:tcPr>
            <w:tcW w:w="21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00" w:hRule="atLeast"/>
        </w:trPr>
        <w:tc>
          <w:tcPr>
            <w:tcW w:w="6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18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合计</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rPr>
            </w:pPr>
          </w:p>
        </w:tc>
        <w:tc>
          <w:tcPr>
            <w:tcW w:w="21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r>
    </w:tbl>
    <w:p>
      <w:pPr>
        <w:rPr>
          <w:bCs/>
        </w:rPr>
      </w:pPr>
    </w:p>
    <w:p>
      <w:pPr>
        <w:rPr>
          <w:b/>
          <w:sz w:val="22"/>
          <w:szCs w:val="28"/>
        </w:rPr>
      </w:pPr>
      <w:r>
        <w:rPr>
          <w:rFonts w:hint="eastAsia"/>
          <w:bCs/>
        </w:rPr>
        <w:t xml:space="preserve"> </w:t>
      </w:r>
      <w:r>
        <w:rPr>
          <w:rFonts w:hint="eastAsia"/>
          <w:b/>
          <w:sz w:val="22"/>
          <w:szCs w:val="28"/>
          <w:highlight w:val="yellow"/>
        </w:rPr>
        <w:t>注：上述报价参照服务清单二内容，不包含更换设备材料费、安装服务费等。</w:t>
      </w:r>
    </w:p>
    <w:p>
      <w:pPr>
        <w:spacing w:line="360" w:lineRule="exact"/>
        <w:rPr>
          <w:rFonts w:ascii="宋体" w:hAnsi="宋体" w:cs="宋体"/>
          <w:b/>
        </w:rPr>
      </w:pPr>
    </w:p>
    <w:p>
      <w:pPr>
        <w:pStyle w:val="15"/>
        <w:sectPr>
          <w:pgSz w:w="11906" w:h="16838"/>
          <w:pgMar w:top="1440" w:right="1286" w:bottom="1440" w:left="1440" w:header="851" w:footer="992" w:gutter="0"/>
          <w:cols w:space="720" w:num="1"/>
          <w:docGrid w:type="lines" w:linePitch="312" w:charSpace="0"/>
        </w:sectPr>
      </w:pPr>
    </w:p>
    <w:p/>
    <w:p>
      <w:pPr>
        <w:spacing w:line="400" w:lineRule="exact"/>
        <w:rPr>
          <w:rFonts w:ascii="黑体" w:hAnsi="Times New Roman" w:eastAsia="黑体" w:cs="黑体"/>
          <w:sz w:val="28"/>
          <w:szCs w:val="28"/>
        </w:rPr>
      </w:pPr>
      <w:r>
        <w:rPr>
          <w:rFonts w:hint="eastAsia" w:ascii="黑体" w:hAnsi="Times New Roman" w:eastAsia="黑体" w:cs="黑体"/>
          <w:sz w:val="28"/>
          <w:szCs w:val="28"/>
        </w:rPr>
        <w:t>格式8</w:t>
      </w:r>
    </w:p>
    <w:p>
      <w:pPr>
        <w:pStyle w:val="3"/>
        <w:spacing w:line="360" w:lineRule="auto"/>
        <w:jc w:val="center"/>
        <w:rPr>
          <w:rFonts w:ascii="宋体" w:hAnsi="宋体" w:cs="宋体"/>
          <w:sz w:val="32"/>
          <w:szCs w:val="32"/>
        </w:rPr>
      </w:pPr>
    </w:p>
    <w:p>
      <w:pPr>
        <w:pStyle w:val="3"/>
        <w:spacing w:line="360" w:lineRule="auto"/>
        <w:jc w:val="center"/>
        <w:rPr>
          <w:rFonts w:ascii="宋体" w:hAnsi="宋体" w:cs="宋体"/>
          <w:sz w:val="32"/>
          <w:szCs w:val="32"/>
        </w:rPr>
      </w:pPr>
      <w:bookmarkStart w:id="96" w:name="_Toc2840"/>
      <w:r>
        <w:rPr>
          <w:rFonts w:hint="eastAsia" w:ascii="宋体" w:hAnsi="宋体" w:cs="宋体"/>
          <w:sz w:val="32"/>
          <w:szCs w:val="32"/>
        </w:rPr>
        <w:t>供应商认为需要提供的其他资料</w:t>
      </w:r>
      <w:bookmarkEnd w:id="96"/>
    </w:p>
    <w:p>
      <w:pPr>
        <w:rPr>
          <w:rFonts w:ascii="宋体" w:hAnsi="宋体"/>
          <w:lang w:val="zh-CN"/>
        </w:rPr>
      </w:pPr>
    </w:p>
    <w:p>
      <w:pPr>
        <w:rPr>
          <w:rFonts w:cs="Times New Roman"/>
          <w:b/>
          <w:bCs/>
        </w:rPr>
      </w:pPr>
    </w:p>
    <w:sectPr>
      <w:pgSz w:w="11906" w:h="16838"/>
      <w:pgMar w:top="1440" w:right="1286"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rFonts w:hint="eastAsia" w:ascii="宋体" w:hAnsi="宋体"/>
      </w:rPr>
      <w:t xml:space="preserve"> </w:t>
    </w:r>
  </w:p>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5"/>
      <w:tblW w:w="9866" w:type="dxa"/>
      <w:jc w:val="right"/>
      <w:tblLayout w:type="fixed"/>
      <w:tblCellMar>
        <w:top w:w="115" w:type="dxa"/>
        <w:left w:w="115" w:type="dxa"/>
        <w:bottom w:w="115" w:type="dxa"/>
        <w:right w:w="115" w:type="dxa"/>
      </w:tblCellMar>
    </w:tblPr>
    <w:tblGrid>
      <w:gridCol w:w="9373"/>
      <w:gridCol w:w="493"/>
    </w:tblGrid>
    <w:tr>
      <w:tblPrEx>
        <w:tblCellMar>
          <w:top w:w="115" w:type="dxa"/>
          <w:left w:w="115" w:type="dxa"/>
          <w:bottom w:w="115" w:type="dxa"/>
          <w:right w:w="115" w:type="dxa"/>
        </w:tblCellMar>
      </w:tblPrEx>
      <w:trPr>
        <w:jc w:val="right"/>
      </w:trPr>
      <w:tc>
        <w:tcPr>
          <w:tcW w:w="9373" w:type="dxa"/>
          <w:vAlign w:val="center"/>
        </w:tcPr>
        <w:p>
          <w:pPr>
            <w:pStyle w:val="23"/>
            <w:tabs>
              <w:tab w:val="center" w:pos="4571"/>
              <w:tab w:val="right" w:pos="9263"/>
            </w:tabs>
            <w:jc w:val="left"/>
            <w:rPr>
              <w:caps/>
              <w:color w:val="000000"/>
            </w:rPr>
          </w:pPr>
          <w:r>
            <w:rPr>
              <w:rFonts w:hint="eastAsia"/>
              <w:caps/>
              <w:color w:val="000000"/>
            </w:rPr>
            <w:tab/>
          </w:r>
          <w:r>
            <w:rPr>
              <w:rFonts w:hint="eastAsia"/>
              <w:caps/>
              <w:color w:val="000000"/>
            </w:rPr>
            <w:tab/>
          </w:r>
        </w:p>
      </w:tc>
      <w:tc>
        <w:tcPr>
          <w:tcW w:w="493" w:type="dxa"/>
          <w:shd w:val="clear" w:color="auto" w:fill="C0504D"/>
          <w:vAlign w:val="center"/>
        </w:tcPr>
        <w:p>
          <w:pPr>
            <w:pStyle w:val="22"/>
            <w:jc w:val="center"/>
            <w:rPr>
              <w:color w:val="FFFFFF"/>
            </w:rPr>
          </w:pPr>
        </w:p>
      </w:tc>
    </w:tr>
  </w:tbl>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wordWrap w:val="0"/>
      <w:jc w:val="both"/>
      <w:rPr>
        <w:rFonts w:asci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2"/>
                          </w:pPr>
                          <w:r>
                            <w:fldChar w:fldCharType="begin"/>
                          </w:r>
                          <w:r>
                            <w:instrText xml:space="preserve"> PAGE  \* MERGEFORMAT </w:instrText>
                          </w:r>
                          <w:r>
                            <w:fldChar w:fldCharType="separate"/>
                          </w:r>
                          <w:r>
                            <w:t>45</w:t>
                          </w:r>
                          <w:r>
                            <w:fldChar w:fldCharType="end"/>
                          </w:r>
                        </w:p>
                      </w:txbxContent>
                    </wps:txbx>
                    <wps:bodyPr wrap="none" lIns="0" tIns="0" rIns="0" bIns="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QF1nZ80BAACZAwAADgAAAAAAAAABACAAAAAeAQAAZHJzL2Uy&#10;b0RvYy54bWxQSwUGAAAAAAYABgBZAQAAXQUAA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jc w:val="both"/>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left" w:pos="5325"/>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jc w:val="both"/>
      <w:rPr>
        <w:rFonts w:asci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840"/>
        </w:tabs>
        <w:ind w:left="840" w:hanging="420"/>
      </w:pPr>
      <w:rPr>
        <w:rFonts w:hint="eastAsia" w:eastAsia="宋体"/>
        <w:b w:val="0"/>
        <w:bCs w:val="0"/>
        <w:i w:val="0"/>
        <w:iCs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6CD5C69"/>
    <w:multiLevelType w:val="singleLevel"/>
    <w:tmpl w:val="56CD5C69"/>
    <w:lvl w:ilvl="0" w:tentative="0">
      <w:start w:val="2"/>
      <w:numFmt w:val="chineseCounting"/>
      <w:suff w:val="nothing"/>
      <w:lvlText w:val="%1."/>
      <w:lvlJc w:val="left"/>
    </w:lvl>
  </w:abstractNum>
  <w:abstractNum w:abstractNumId="2">
    <w:nsid w:val="56CD601C"/>
    <w:multiLevelType w:val="singleLevel"/>
    <w:tmpl w:val="56CD601C"/>
    <w:lvl w:ilvl="0" w:tentative="0">
      <w:start w:val="6"/>
      <w:numFmt w:val="chineseCounting"/>
      <w:suff w:val="nothing"/>
      <w:lvlText w:val="%1."/>
      <w:lvlJc w:val="left"/>
      <w:rPr>
        <w:color w:val="000000"/>
      </w:rPr>
    </w:lvl>
  </w:abstractNum>
  <w:abstractNum w:abstractNumId="3">
    <w:nsid w:val="5930BEA8"/>
    <w:multiLevelType w:val="multilevel"/>
    <w:tmpl w:val="5930BEA8"/>
    <w:lvl w:ilvl="0" w:tentative="0">
      <w:start w:val="1"/>
      <w:numFmt w:val="decimal"/>
      <w:lvlText w:val="格式%1"/>
      <w:lvlJc w:val="left"/>
      <w:pPr>
        <w:tabs>
          <w:tab w:val="left" w:pos="284"/>
        </w:tabs>
        <w:ind w:left="284" w:hanging="142"/>
      </w:pPr>
      <w:rPr>
        <w:rFonts w:hint="eastAsia" w:ascii="黑体" w:hAnsi="Times New Roman" w:eastAsia="黑体" w:cs="黑体"/>
        <w:b w:val="0"/>
        <w:bCs w:val="0"/>
        <w:sz w:val="28"/>
        <w:szCs w:val="28"/>
      </w:rPr>
    </w:lvl>
    <w:lvl w:ilvl="1" w:tentative="0">
      <w:start w:val="1"/>
      <w:numFmt w:val="decimal"/>
      <w:lvlText w:val="%2."/>
      <w:lvlJc w:val="left"/>
      <w:pPr>
        <w:tabs>
          <w:tab w:val="left" w:pos="840"/>
        </w:tabs>
        <w:ind w:left="840" w:hanging="420"/>
      </w:pPr>
      <w:rPr>
        <w:b w:val="0"/>
        <w:bCs w:val="0"/>
        <w:sz w:val="21"/>
        <w:szCs w:val="21"/>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930BEBE"/>
    <w:multiLevelType w:val="multilevel"/>
    <w:tmpl w:val="5930BEBE"/>
    <w:lvl w:ilvl="0" w:tentative="0">
      <w:start w:val="1"/>
      <w:numFmt w:val="decimal"/>
      <w:lvlText w:val="%1"/>
      <w:lvlJc w:val="center"/>
      <w:pPr>
        <w:tabs>
          <w:tab w:val="left" w:pos="142"/>
        </w:tabs>
        <w:ind w:left="142" w:firstLine="38"/>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930BEC9"/>
    <w:multiLevelType w:val="multilevel"/>
    <w:tmpl w:val="5930BEC9"/>
    <w:lvl w:ilvl="0" w:tentative="0">
      <w:start w:val="5"/>
      <w:numFmt w:val="japaneseCounting"/>
      <w:lvlText w:val="%1、"/>
      <w:lvlJc w:val="left"/>
      <w:pPr>
        <w:tabs>
          <w:tab w:val="left" w:pos="0"/>
        </w:tabs>
        <w:ind w:left="630" w:hanging="63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5"/>
    <w:lvlOverride w:ilvl="0">
      <w:startOverride w:val="5"/>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lvlOverride w:ilvl="0">
      <w:startOverride w:val="1"/>
    </w:lvlOverride>
  </w:num>
  <w:num w:numId="6">
    <w:abstractNumId w:val="4"/>
    <w:lvlOverride w:ilvl="0">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NotTrackMoves/>
  <w:documentProtection w:enforcement="0"/>
  <w:defaultTabStop w:val="420"/>
  <w:doNotHyphenateCaps/>
  <w:drawingGridHorizontalSpacing w:val="210"/>
  <w:drawingGridVerticalSpacing w:val="159"/>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YjQ5ZDdhZTEwMzc0ZjBjNzM4YzNmMzY0YmNmOWYifQ=="/>
  </w:docVars>
  <w:rsids>
    <w:rsidRoot w:val="00172A27"/>
    <w:rsid w:val="0000475E"/>
    <w:rsid w:val="00004ED9"/>
    <w:rsid w:val="00011BB6"/>
    <w:rsid w:val="00012788"/>
    <w:rsid w:val="00013CED"/>
    <w:rsid w:val="0002731D"/>
    <w:rsid w:val="00027EBF"/>
    <w:rsid w:val="000303E0"/>
    <w:rsid w:val="00030762"/>
    <w:rsid w:val="00031AE7"/>
    <w:rsid w:val="0003432B"/>
    <w:rsid w:val="00040DA5"/>
    <w:rsid w:val="00053D46"/>
    <w:rsid w:val="000616B8"/>
    <w:rsid w:val="00063902"/>
    <w:rsid w:val="00065ED2"/>
    <w:rsid w:val="00066537"/>
    <w:rsid w:val="000667C2"/>
    <w:rsid w:val="00066E92"/>
    <w:rsid w:val="0007002C"/>
    <w:rsid w:val="00080BA3"/>
    <w:rsid w:val="00082EBF"/>
    <w:rsid w:val="0008385A"/>
    <w:rsid w:val="00087508"/>
    <w:rsid w:val="000949A4"/>
    <w:rsid w:val="000A0ABB"/>
    <w:rsid w:val="000A0FD0"/>
    <w:rsid w:val="000A25C9"/>
    <w:rsid w:val="000A3FAA"/>
    <w:rsid w:val="000A5F20"/>
    <w:rsid w:val="000A7964"/>
    <w:rsid w:val="000B59B4"/>
    <w:rsid w:val="000B7CF1"/>
    <w:rsid w:val="000D0A92"/>
    <w:rsid w:val="000D46CF"/>
    <w:rsid w:val="000D7383"/>
    <w:rsid w:val="000E05A7"/>
    <w:rsid w:val="000E4418"/>
    <w:rsid w:val="000E583B"/>
    <w:rsid w:val="000E7810"/>
    <w:rsid w:val="000F5B94"/>
    <w:rsid w:val="00102BF7"/>
    <w:rsid w:val="00102CA5"/>
    <w:rsid w:val="00111258"/>
    <w:rsid w:val="001172BB"/>
    <w:rsid w:val="00117E06"/>
    <w:rsid w:val="00122F34"/>
    <w:rsid w:val="00126E8C"/>
    <w:rsid w:val="00141908"/>
    <w:rsid w:val="0014231F"/>
    <w:rsid w:val="00145770"/>
    <w:rsid w:val="00145BE4"/>
    <w:rsid w:val="00155FBB"/>
    <w:rsid w:val="001567AC"/>
    <w:rsid w:val="00163A40"/>
    <w:rsid w:val="00172A27"/>
    <w:rsid w:val="00190328"/>
    <w:rsid w:val="001A247A"/>
    <w:rsid w:val="001A5503"/>
    <w:rsid w:val="001B08CD"/>
    <w:rsid w:val="001B73D5"/>
    <w:rsid w:val="001C28FB"/>
    <w:rsid w:val="001D4503"/>
    <w:rsid w:val="001D5685"/>
    <w:rsid w:val="001E01F4"/>
    <w:rsid w:val="001E2859"/>
    <w:rsid w:val="001E5C16"/>
    <w:rsid w:val="001E6A25"/>
    <w:rsid w:val="001F108D"/>
    <w:rsid w:val="001F3817"/>
    <w:rsid w:val="001F55ED"/>
    <w:rsid w:val="002076DF"/>
    <w:rsid w:val="00217836"/>
    <w:rsid w:val="00221547"/>
    <w:rsid w:val="0022256D"/>
    <w:rsid w:val="00231604"/>
    <w:rsid w:val="00240026"/>
    <w:rsid w:val="00247048"/>
    <w:rsid w:val="00251EB3"/>
    <w:rsid w:val="00254C3B"/>
    <w:rsid w:val="00256DB7"/>
    <w:rsid w:val="00257B24"/>
    <w:rsid w:val="00260168"/>
    <w:rsid w:val="002633C4"/>
    <w:rsid w:val="00273686"/>
    <w:rsid w:val="00275909"/>
    <w:rsid w:val="00281448"/>
    <w:rsid w:val="002827C6"/>
    <w:rsid w:val="00291258"/>
    <w:rsid w:val="002A00D2"/>
    <w:rsid w:val="002A1A6D"/>
    <w:rsid w:val="002A236B"/>
    <w:rsid w:val="002A79C3"/>
    <w:rsid w:val="002B1764"/>
    <w:rsid w:val="002B3282"/>
    <w:rsid w:val="002B3DDA"/>
    <w:rsid w:val="002B5D51"/>
    <w:rsid w:val="002C1C74"/>
    <w:rsid w:val="002C4A8E"/>
    <w:rsid w:val="002E32F0"/>
    <w:rsid w:val="002E3A35"/>
    <w:rsid w:val="002E41DE"/>
    <w:rsid w:val="002E69D1"/>
    <w:rsid w:val="002F1092"/>
    <w:rsid w:val="002F29FE"/>
    <w:rsid w:val="002F4666"/>
    <w:rsid w:val="00300BF5"/>
    <w:rsid w:val="00301D9A"/>
    <w:rsid w:val="0031265F"/>
    <w:rsid w:val="0031591B"/>
    <w:rsid w:val="00316E1C"/>
    <w:rsid w:val="00317EBD"/>
    <w:rsid w:val="00324B1E"/>
    <w:rsid w:val="003322E0"/>
    <w:rsid w:val="00333096"/>
    <w:rsid w:val="003501ED"/>
    <w:rsid w:val="003519BA"/>
    <w:rsid w:val="003524F9"/>
    <w:rsid w:val="00354B76"/>
    <w:rsid w:val="0036308C"/>
    <w:rsid w:val="00365ADD"/>
    <w:rsid w:val="0036658B"/>
    <w:rsid w:val="00373BB4"/>
    <w:rsid w:val="00376BDC"/>
    <w:rsid w:val="0038226B"/>
    <w:rsid w:val="00393618"/>
    <w:rsid w:val="0039629B"/>
    <w:rsid w:val="003978C3"/>
    <w:rsid w:val="00397CE6"/>
    <w:rsid w:val="003B2EC4"/>
    <w:rsid w:val="003B69B2"/>
    <w:rsid w:val="003B745E"/>
    <w:rsid w:val="003B7D41"/>
    <w:rsid w:val="003E1EA3"/>
    <w:rsid w:val="003E355B"/>
    <w:rsid w:val="003E3D89"/>
    <w:rsid w:val="003F4EBE"/>
    <w:rsid w:val="003F5FB2"/>
    <w:rsid w:val="00401571"/>
    <w:rsid w:val="00407584"/>
    <w:rsid w:val="00407C16"/>
    <w:rsid w:val="004128AB"/>
    <w:rsid w:val="004206AF"/>
    <w:rsid w:val="00423DAD"/>
    <w:rsid w:val="0042402D"/>
    <w:rsid w:val="00424DFB"/>
    <w:rsid w:val="0043308C"/>
    <w:rsid w:val="00441D37"/>
    <w:rsid w:val="00446282"/>
    <w:rsid w:val="004477D0"/>
    <w:rsid w:val="00456605"/>
    <w:rsid w:val="00461B29"/>
    <w:rsid w:val="00461B45"/>
    <w:rsid w:val="00464776"/>
    <w:rsid w:val="0046591A"/>
    <w:rsid w:val="0046625F"/>
    <w:rsid w:val="00467935"/>
    <w:rsid w:val="00471FC2"/>
    <w:rsid w:val="0047295E"/>
    <w:rsid w:val="00477C03"/>
    <w:rsid w:val="00477E81"/>
    <w:rsid w:val="00484EA6"/>
    <w:rsid w:val="00484EF1"/>
    <w:rsid w:val="00486B6A"/>
    <w:rsid w:val="00492B44"/>
    <w:rsid w:val="00492E55"/>
    <w:rsid w:val="0049420F"/>
    <w:rsid w:val="00496C57"/>
    <w:rsid w:val="00497AD4"/>
    <w:rsid w:val="004A1FF8"/>
    <w:rsid w:val="004A3901"/>
    <w:rsid w:val="004A60EC"/>
    <w:rsid w:val="004A7924"/>
    <w:rsid w:val="004B4D97"/>
    <w:rsid w:val="004B5BA7"/>
    <w:rsid w:val="004C2828"/>
    <w:rsid w:val="004C5116"/>
    <w:rsid w:val="004D063D"/>
    <w:rsid w:val="004D109C"/>
    <w:rsid w:val="004D46C1"/>
    <w:rsid w:val="004D5927"/>
    <w:rsid w:val="004D6FFC"/>
    <w:rsid w:val="004E38D3"/>
    <w:rsid w:val="004E4821"/>
    <w:rsid w:val="004E53B0"/>
    <w:rsid w:val="004E554E"/>
    <w:rsid w:val="004E6808"/>
    <w:rsid w:val="004F3CC7"/>
    <w:rsid w:val="005023C4"/>
    <w:rsid w:val="0050644E"/>
    <w:rsid w:val="0050758C"/>
    <w:rsid w:val="00511D52"/>
    <w:rsid w:val="00514F55"/>
    <w:rsid w:val="005311C9"/>
    <w:rsid w:val="00532098"/>
    <w:rsid w:val="005331D2"/>
    <w:rsid w:val="00536FE0"/>
    <w:rsid w:val="0053757A"/>
    <w:rsid w:val="00541C51"/>
    <w:rsid w:val="005441A8"/>
    <w:rsid w:val="00545AB7"/>
    <w:rsid w:val="0055198E"/>
    <w:rsid w:val="00554F20"/>
    <w:rsid w:val="005600FE"/>
    <w:rsid w:val="00565630"/>
    <w:rsid w:val="005873FC"/>
    <w:rsid w:val="00594CC8"/>
    <w:rsid w:val="005962A0"/>
    <w:rsid w:val="005A0F78"/>
    <w:rsid w:val="005A334A"/>
    <w:rsid w:val="005A4AD2"/>
    <w:rsid w:val="005B1F87"/>
    <w:rsid w:val="005B4C59"/>
    <w:rsid w:val="005B6058"/>
    <w:rsid w:val="005B6C65"/>
    <w:rsid w:val="005C0485"/>
    <w:rsid w:val="005C6261"/>
    <w:rsid w:val="005D13F3"/>
    <w:rsid w:val="005E40CB"/>
    <w:rsid w:val="005E7DFD"/>
    <w:rsid w:val="005F0F65"/>
    <w:rsid w:val="006013FA"/>
    <w:rsid w:val="00616313"/>
    <w:rsid w:val="006232E9"/>
    <w:rsid w:val="006272E9"/>
    <w:rsid w:val="0063127C"/>
    <w:rsid w:val="006370B9"/>
    <w:rsid w:val="00640BF4"/>
    <w:rsid w:val="0064312C"/>
    <w:rsid w:val="00645BF7"/>
    <w:rsid w:val="00661532"/>
    <w:rsid w:val="00662387"/>
    <w:rsid w:val="00666122"/>
    <w:rsid w:val="006703EE"/>
    <w:rsid w:val="0068211F"/>
    <w:rsid w:val="00687599"/>
    <w:rsid w:val="00696288"/>
    <w:rsid w:val="00696887"/>
    <w:rsid w:val="006A0B8E"/>
    <w:rsid w:val="006B09F1"/>
    <w:rsid w:val="006C343C"/>
    <w:rsid w:val="006E23D8"/>
    <w:rsid w:val="006E5976"/>
    <w:rsid w:val="00704B4F"/>
    <w:rsid w:val="0071025B"/>
    <w:rsid w:val="007148C7"/>
    <w:rsid w:val="007153CE"/>
    <w:rsid w:val="00720D0F"/>
    <w:rsid w:val="00722F89"/>
    <w:rsid w:val="007243ED"/>
    <w:rsid w:val="00736F42"/>
    <w:rsid w:val="007372B5"/>
    <w:rsid w:val="00741137"/>
    <w:rsid w:val="00743D0C"/>
    <w:rsid w:val="00744298"/>
    <w:rsid w:val="007562AD"/>
    <w:rsid w:val="00756DA2"/>
    <w:rsid w:val="00766B76"/>
    <w:rsid w:val="00770689"/>
    <w:rsid w:val="00773D87"/>
    <w:rsid w:val="0077574D"/>
    <w:rsid w:val="00776906"/>
    <w:rsid w:val="00777E2F"/>
    <w:rsid w:val="00797455"/>
    <w:rsid w:val="007B06C9"/>
    <w:rsid w:val="007B093B"/>
    <w:rsid w:val="007B175C"/>
    <w:rsid w:val="007C0ABD"/>
    <w:rsid w:val="007C59FE"/>
    <w:rsid w:val="007C722F"/>
    <w:rsid w:val="007D2A48"/>
    <w:rsid w:val="007E0813"/>
    <w:rsid w:val="007E60B9"/>
    <w:rsid w:val="007E7F16"/>
    <w:rsid w:val="007F1450"/>
    <w:rsid w:val="007F1F7A"/>
    <w:rsid w:val="007F6177"/>
    <w:rsid w:val="00800EE4"/>
    <w:rsid w:val="00803437"/>
    <w:rsid w:val="00804729"/>
    <w:rsid w:val="008056C8"/>
    <w:rsid w:val="00811AF9"/>
    <w:rsid w:val="00814509"/>
    <w:rsid w:val="0081621D"/>
    <w:rsid w:val="0082205C"/>
    <w:rsid w:val="00832402"/>
    <w:rsid w:val="00833CED"/>
    <w:rsid w:val="00840808"/>
    <w:rsid w:val="00840FE7"/>
    <w:rsid w:val="008461BC"/>
    <w:rsid w:val="00850124"/>
    <w:rsid w:val="00855D75"/>
    <w:rsid w:val="00862522"/>
    <w:rsid w:val="00864D8F"/>
    <w:rsid w:val="008721E8"/>
    <w:rsid w:val="00885F0F"/>
    <w:rsid w:val="008A412A"/>
    <w:rsid w:val="008B068B"/>
    <w:rsid w:val="008B2769"/>
    <w:rsid w:val="008C19E6"/>
    <w:rsid w:val="008D081C"/>
    <w:rsid w:val="008D1E3A"/>
    <w:rsid w:val="008E02C9"/>
    <w:rsid w:val="008E0B5F"/>
    <w:rsid w:val="008E5202"/>
    <w:rsid w:val="008E5C42"/>
    <w:rsid w:val="008F1546"/>
    <w:rsid w:val="008F6402"/>
    <w:rsid w:val="00901BBE"/>
    <w:rsid w:val="0090449C"/>
    <w:rsid w:val="00917F13"/>
    <w:rsid w:val="00921306"/>
    <w:rsid w:val="00922B0E"/>
    <w:rsid w:val="009248A4"/>
    <w:rsid w:val="00933995"/>
    <w:rsid w:val="00934DB3"/>
    <w:rsid w:val="00934E35"/>
    <w:rsid w:val="00940182"/>
    <w:rsid w:val="009449E8"/>
    <w:rsid w:val="00944D32"/>
    <w:rsid w:val="0095076D"/>
    <w:rsid w:val="00952548"/>
    <w:rsid w:val="0095363C"/>
    <w:rsid w:val="00964379"/>
    <w:rsid w:val="00966637"/>
    <w:rsid w:val="00966E29"/>
    <w:rsid w:val="00985E50"/>
    <w:rsid w:val="009920DF"/>
    <w:rsid w:val="00993449"/>
    <w:rsid w:val="009A32A3"/>
    <w:rsid w:val="009A38FF"/>
    <w:rsid w:val="009B12C4"/>
    <w:rsid w:val="009B61CA"/>
    <w:rsid w:val="009B765F"/>
    <w:rsid w:val="009C4738"/>
    <w:rsid w:val="009C5E03"/>
    <w:rsid w:val="009D46D2"/>
    <w:rsid w:val="009D52F5"/>
    <w:rsid w:val="009E24EA"/>
    <w:rsid w:val="009E2D9E"/>
    <w:rsid w:val="009E526A"/>
    <w:rsid w:val="009F0C14"/>
    <w:rsid w:val="009F6662"/>
    <w:rsid w:val="009F7D9A"/>
    <w:rsid w:val="00A04C92"/>
    <w:rsid w:val="00A055F7"/>
    <w:rsid w:val="00A27FF7"/>
    <w:rsid w:val="00A33046"/>
    <w:rsid w:val="00A340A5"/>
    <w:rsid w:val="00A414A8"/>
    <w:rsid w:val="00A55819"/>
    <w:rsid w:val="00A56C65"/>
    <w:rsid w:val="00A56E5C"/>
    <w:rsid w:val="00A64FEB"/>
    <w:rsid w:val="00A664D8"/>
    <w:rsid w:val="00A66739"/>
    <w:rsid w:val="00A74E2D"/>
    <w:rsid w:val="00A768E1"/>
    <w:rsid w:val="00A82547"/>
    <w:rsid w:val="00A833AA"/>
    <w:rsid w:val="00A9258A"/>
    <w:rsid w:val="00A92D4A"/>
    <w:rsid w:val="00A930D3"/>
    <w:rsid w:val="00A93AB2"/>
    <w:rsid w:val="00AB31EE"/>
    <w:rsid w:val="00AC2699"/>
    <w:rsid w:val="00AC5126"/>
    <w:rsid w:val="00AC7E7F"/>
    <w:rsid w:val="00AD272B"/>
    <w:rsid w:val="00AD2DAD"/>
    <w:rsid w:val="00AD77FA"/>
    <w:rsid w:val="00AE0644"/>
    <w:rsid w:val="00AE34EC"/>
    <w:rsid w:val="00AE48FC"/>
    <w:rsid w:val="00AE7BF1"/>
    <w:rsid w:val="00AF4C58"/>
    <w:rsid w:val="00AF609B"/>
    <w:rsid w:val="00B01247"/>
    <w:rsid w:val="00B02E7B"/>
    <w:rsid w:val="00B06A09"/>
    <w:rsid w:val="00B1208F"/>
    <w:rsid w:val="00B13356"/>
    <w:rsid w:val="00B2263B"/>
    <w:rsid w:val="00B31D1A"/>
    <w:rsid w:val="00B36B7A"/>
    <w:rsid w:val="00B44C6A"/>
    <w:rsid w:val="00B531DB"/>
    <w:rsid w:val="00B629B6"/>
    <w:rsid w:val="00B64EE0"/>
    <w:rsid w:val="00B74F23"/>
    <w:rsid w:val="00B8512E"/>
    <w:rsid w:val="00B85A16"/>
    <w:rsid w:val="00B90548"/>
    <w:rsid w:val="00BB04C4"/>
    <w:rsid w:val="00BC326B"/>
    <w:rsid w:val="00BD0C51"/>
    <w:rsid w:val="00BD25A7"/>
    <w:rsid w:val="00BD3B77"/>
    <w:rsid w:val="00BE345E"/>
    <w:rsid w:val="00BE5B41"/>
    <w:rsid w:val="00BE7824"/>
    <w:rsid w:val="00BF4A2E"/>
    <w:rsid w:val="00C11A78"/>
    <w:rsid w:val="00C14875"/>
    <w:rsid w:val="00C15CF5"/>
    <w:rsid w:val="00C21C4E"/>
    <w:rsid w:val="00C246FA"/>
    <w:rsid w:val="00C35C83"/>
    <w:rsid w:val="00C37A47"/>
    <w:rsid w:val="00C45E47"/>
    <w:rsid w:val="00C601EA"/>
    <w:rsid w:val="00C646EA"/>
    <w:rsid w:val="00C71BF3"/>
    <w:rsid w:val="00C7634F"/>
    <w:rsid w:val="00C83562"/>
    <w:rsid w:val="00C8723E"/>
    <w:rsid w:val="00C91B8B"/>
    <w:rsid w:val="00C91F21"/>
    <w:rsid w:val="00C9205E"/>
    <w:rsid w:val="00CA07CA"/>
    <w:rsid w:val="00CB4083"/>
    <w:rsid w:val="00CB4783"/>
    <w:rsid w:val="00CC749A"/>
    <w:rsid w:val="00CD248B"/>
    <w:rsid w:val="00CD6793"/>
    <w:rsid w:val="00CE06E3"/>
    <w:rsid w:val="00CE491E"/>
    <w:rsid w:val="00CF560A"/>
    <w:rsid w:val="00D02AF1"/>
    <w:rsid w:val="00D25820"/>
    <w:rsid w:val="00D26050"/>
    <w:rsid w:val="00D30579"/>
    <w:rsid w:val="00D3548C"/>
    <w:rsid w:val="00D43D77"/>
    <w:rsid w:val="00D4695C"/>
    <w:rsid w:val="00D50859"/>
    <w:rsid w:val="00D53228"/>
    <w:rsid w:val="00D55479"/>
    <w:rsid w:val="00D6106B"/>
    <w:rsid w:val="00D61D83"/>
    <w:rsid w:val="00D754B1"/>
    <w:rsid w:val="00D76F6D"/>
    <w:rsid w:val="00D7720B"/>
    <w:rsid w:val="00D81CF2"/>
    <w:rsid w:val="00D8257B"/>
    <w:rsid w:val="00D8694E"/>
    <w:rsid w:val="00D87C28"/>
    <w:rsid w:val="00D90AA8"/>
    <w:rsid w:val="00DA1BE1"/>
    <w:rsid w:val="00DA41B5"/>
    <w:rsid w:val="00DA4BBF"/>
    <w:rsid w:val="00DA6499"/>
    <w:rsid w:val="00DB3623"/>
    <w:rsid w:val="00DB6E33"/>
    <w:rsid w:val="00DC654D"/>
    <w:rsid w:val="00DC75AB"/>
    <w:rsid w:val="00DD208D"/>
    <w:rsid w:val="00DE3CBD"/>
    <w:rsid w:val="00DE41DC"/>
    <w:rsid w:val="00E03366"/>
    <w:rsid w:val="00E1118A"/>
    <w:rsid w:val="00E14369"/>
    <w:rsid w:val="00E24477"/>
    <w:rsid w:val="00E25956"/>
    <w:rsid w:val="00E27495"/>
    <w:rsid w:val="00E27F41"/>
    <w:rsid w:val="00E338BC"/>
    <w:rsid w:val="00E361C3"/>
    <w:rsid w:val="00E40741"/>
    <w:rsid w:val="00E410E5"/>
    <w:rsid w:val="00E540EF"/>
    <w:rsid w:val="00E56571"/>
    <w:rsid w:val="00E60BD4"/>
    <w:rsid w:val="00E62517"/>
    <w:rsid w:val="00E62909"/>
    <w:rsid w:val="00E6376D"/>
    <w:rsid w:val="00E63994"/>
    <w:rsid w:val="00E6414C"/>
    <w:rsid w:val="00E677AD"/>
    <w:rsid w:val="00E70FCD"/>
    <w:rsid w:val="00E822F3"/>
    <w:rsid w:val="00E85982"/>
    <w:rsid w:val="00E85FF4"/>
    <w:rsid w:val="00E9647A"/>
    <w:rsid w:val="00EA305C"/>
    <w:rsid w:val="00EA4A6D"/>
    <w:rsid w:val="00EB7009"/>
    <w:rsid w:val="00EC443E"/>
    <w:rsid w:val="00EC4D89"/>
    <w:rsid w:val="00EC650B"/>
    <w:rsid w:val="00EC73A9"/>
    <w:rsid w:val="00EC73E7"/>
    <w:rsid w:val="00EC778D"/>
    <w:rsid w:val="00ED28A2"/>
    <w:rsid w:val="00ED7225"/>
    <w:rsid w:val="00EE6D31"/>
    <w:rsid w:val="00EF6532"/>
    <w:rsid w:val="00EF7BC3"/>
    <w:rsid w:val="00F020EA"/>
    <w:rsid w:val="00F10C7F"/>
    <w:rsid w:val="00F16FF3"/>
    <w:rsid w:val="00F32D6E"/>
    <w:rsid w:val="00F378D6"/>
    <w:rsid w:val="00F529B5"/>
    <w:rsid w:val="00F55AA7"/>
    <w:rsid w:val="00F63CEE"/>
    <w:rsid w:val="00F67F5E"/>
    <w:rsid w:val="00F92690"/>
    <w:rsid w:val="00FA002A"/>
    <w:rsid w:val="00FA42AA"/>
    <w:rsid w:val="00FA5DD2"/>
    <w:rsid w:val="00FA7E29"/>
    <w:rsid w:val="00FB757C"/>
    <w:rsid w:val="00FC5522"/>
    <w:rsid w:val="00FC7142"/>
    <w:rsid w:val="00FD0C6E"/>
    <w:rsid w:val="00FD4350"/>
    <w:rsid w:val="00FE33B7"/>
    <w:rsid w:val="00FE70F2"/>
    <w:rsid w:val="00FF4128"/>
    <w:rsid w:val="00FF47E4"/>
    <w:rsid w:val="010C0545"/>
    <w:rsid w:val="01431AAC"/>
    <w:rsid w:val="01CB4613"/>
    <w:rsid w:val="01D6735B"/>
    <w:rsid w:val="01EE009D"/>
    <w:rsid w:val="02212C59"/>
    <w:rsid w:val="02234D68"/>
    <w:rsid w:val="025C3ED9"/>
    <w:rsid w:val="028B7ABC"/>
    <w:rsid w:val="02DC3262"/>
    <w:rsid w:val="03362153"/>
    <w:rsid w:val="033D23C8"/>
    <w:rsid w:val="035C7C9F"/>
    <w:rsid w:val="038421FF"/>
    <w:rsid w:val="038A48C2"/>
    <w:rsid w:val="03AC3D5F"/>
    <w:rsid w:val="04A52F3F"/>
    <w:rsid w:val="04DB5BA0"/>
    <w:rsid w:val="04E34DD0"/>
    <w:rsid w:val="050339C8"/>
    <w:rsid w:val="053E2923"/>
    <w:rsid w:val="05591606"/>
    <w:rsid w:val="056B78E4"/>
    <w:rsid w:val="05A42927"/>
    <w:rsid w:val="05EB78B9"/>
    <w:rsid w:val="060464B3"/>
    <w:rsid w:val="061F2713"/>
    <w:rsid w:val="065654B5"/>
    <w:rsid w:val="066408B6"/>
    <w:rsid w:val="06A149CB"/>
    <w:rsid w:val="06D11F32"/>
    <w:rsid w:val="0785665F"/>
    <w:rsid w:val="07B32051"/>
    <w:rsid w:val="07EB08B1"/>
    <w:rsid w:val="08173179"/>
    <w:rsid w:val="08C5681F"/>
    <w:rsid w:val="091C4B59"/>
    <w:rsid w:val="095D5FCA"/>
    <w:rsid w:val="098A5497"/>
    <w:rsid w:val="09A1791C"/>
    <w:rsid w:val="09D25BA2"/>
    <w:rsid w:val="0A0E35A3"/>
    <w:rsid w:val="0A1B48E0"/>
    <w:rsid w:val="0A836050"/>
    <w:rsid w:val="0A865960"/>
    <w:rsid w:val="0A935413"/>
    <w:rsid w:val="0AB357D4"/>
    <w:rsid w:val="0ABF2570"/>
    <w:rsid w:val="0AD12D78"/>
    <w:rsid w:val="0B591E2E"/>
    <w:rsid w:val="0B7179F0"/>
    <w:rsid w:val="0C0910DE"/>
    <w:rsid w:val="0CAD489C"/>
    <w:rsid w:val="0D0E66AD"/>
    <w:rsid w:val="0D5A5B8C"/>
    <w:rsid w:val="0D7B1C8E"/>
    <w:rsid w:val="0D7D1BB2"/>
    <w:rsid w:val="0D896308"/>
    <w:rsid w:val="0DAC4FCB"/>
    <w:rsid w:val="0DDD3A30"/>
    <w:rsid w:val="0DE855D9"/>
    <w:rsid w:val="0DE92C96"/>
    <w:rsid w:val="0E064F10"/>
    <w:rsid w:val="0E224769"/>
    <w:rsid w:val="0E377D85"/>
    <w:rsid w:val="0EA314D4"/>
    <w:rsid w:val="0EAA614C"/>
    <w:rsid w:val="0EC55891"/>
    <w:rsid w:val="0ECD0956"/>
    <w:rsid w:val="0F0A1C47"/>
    <w:rsid w:val="0F8938E3"/>
    <w:rsid w:val="0FC26B09"/>
    <w:rsid w:val="0FE37051"/>
    <w:rsid w:val="0FE55E1D"/>
    <w:rsid w:val="10234BB8"/>
    <w:rsid w:val="10A37ACB"/>
    <w:rsid w:val="10C33D91"/>
    <w:rsid w:val="11072B0F"/>
    <w:rsid w:val="111144EB"/>
    <w:rsid w:val="112F3EE8"/>
    <w:rsid w:val="11651493"/>
    <w:rsid w:val="11671D8C"/>
    <w:rsid w:val="118215F3"/>
    <w:rsid w:val="11B20E43"/>
    <w:rsid w:val="11B8379D"/>
    <w:rsid w:val="11E164E5"/>
    <w:rsid w:val="122638B7"/>
    <w:rsid w:val="12BB492C"/>
    <w:rsid w:val="12D92BF6"/>
    <w:rsid w:val="132344FA"/>
    <w:rsid w:val="1337105C"/>
    <w:rsid w:val="135B6F1E"/>
    <w:rsid w:val="13CB73A9"/>
    <w:rsid w:val="13D25640"/>
    <w:rsid w:val="13E00550"/>
    <w:rsid w:val="144741CB"/>
    <w:rsid w:val="145C7A04"/>
    <w:rsid w:val="146A35EE"/>
    <w:rsid w:val="14D00807"/>
    <w:rsid w:val="14D02D31"/>
    <w:rsid w:val="14D34E23"/>
    <w:rsid w:val="14DE45E1"/>
    <w:rsid w:val="14F57CCE"/>
    <w:rsid w:val="151505A6"/>
    <w:rsid w:val="151D2D8A"/>
    <w:rsid w:val="157D48C4"/>
    <w:rsid w:val="15883D2B"/>
    <w:rsid w:val="15A33128"/>
    <w:rsid w:val="15CB6DC0"/>
    <w:rsid w:val="15D37DAD"/>
    <w:rsid w:val="15EE047E"/>
    <w:rsid w:val="15F42192"/>
    <w:rsid w:val="164A0FEE"/>
    <w:rsid w:val="167E0620"/>
    <w:rsid w:val="168C03DB"/>
    <w:rsid w:val="168F62E4"/>
    <w:rsid w:val="16AE5587"/>
    <w:rsid w:val="16AE7558"/>
    <w:rsid w:val="17610FFB"/>
    <w:rsid w:val="177212C8"/>
    <w:rsid w:val="1774600D"/>
    <w:rsid w:val="17B65676"/>
    <w:rsid w:val="17E625C2"/>
    <w:rsid w:val="181804D5"/>
    <w:rsid w:val="181956B5"/>
    <w:rsid w:val="183262BB"/>
    <w:rsid w:val="18D93586"/>
    <w:rsid w:val="18E9064E"/>
    <w:rsid w:val="191B2BC9"/>
    <w:rsid w:val="191C3C2B"/>
    <w:rsid w:val="19414DFD"/>
    <w:rsid w:val="19667770"/>
    <w:rsid w:val="19670372"/>
    <w:rsid w:val="19E05BF9"/>
    <w:rsid w:val="19F835C9"/>
    <w:rsid w:val="1A597781"/>
    <w:rsid w:val="1A674BDF"/>
    <w:rsid w:val="1AAF73A0"/>
    <w:rsid w:val="1AE16D0C"/>
    <w:rsid w:val="1B295DE8"/>
    <w:rsid w:val="1B495A57"/>
    <w:rsid w:val="1B9472A0"/>
    <w:rsid w:val="1C102782"/>
    <w:rsid w:val="1C1E661C"/>
    <w:rsid w:val="1C3A2896"/>
    <w:rsid w:val="1C4D4BCF"/>
    <w:rsid w:val="1CFD009B"/>
    <w:rsid w:val="1D3C39C1"/>
    <w:rsid w:val="1E18389A"/>
    <w:rsid w:val="1E487674"/>
    <w:rsid w:val="1EF37B1C"/>
    <w:rsid w:val="1F7B4A8D"/>
    <w:rsid w:val="1FA878A4"/>
    <w:rsid w:val="1FB65CE5"/>
    <w:rsid w:val="1FFB1CD2"/>
    <w:rsid w:val="200D19E6"/>
    <w:rsid w:val="20102115"/>
    <w:rsid w:val="20723DF8"/>
    <w:rsid w:val="20CF0408"/>
    <w:rsid w:val="20DD2F6A"/>
    <w:rsid w:val="213D5D4F"/>
    <w:rsid w:val="214D321F"/>
    <w:rsid w:val="21526090"/>
    <w:rsid w:val="21831257"/>
    <w:rsid w:val="21862A8E"/>
    <w:rsid w:val="21B66174"/>
    <w:rsid w:val="21D2510C"/>
    <w:rsid w:val="220B46C7"/>
    <w:rsid w:val="22584650"/>
    <w:rsid w:val="22C27A86"/>
    <w:rsid w:val="22E16D2C"/>
    <w:rsid w:val="23513516"/>
    <w:rsid w:val="235C0D8C"/>
    <w:rsid w:val="24005DFF"/>
    <w:rsid w:val="24740B21"/>
    <w:rsid w:val="24A66CC3"/>
    <w:rsid w:val="24B07509"/>
    <w:rsid w:val="24C03D82"/>
    <w:rsid w:val="25141B44"/>
    <w:rsid w:val="252456F1"/>
    <w:rsid w:val="25251CDD"/>
    <w:rsid w:val="256A0B48"/>
    <w:rsid w:val="25B8212F"/>
    <w:rsid w:val="25C379D2"/>
    <w:rsid w:val="26244987"/>
    <w:rsid w:val="26A266B6"/>
    <w:rsid w:val="26DC3A8D"/>
    <w:rsid w:val="27A76D16"/>
    <w:rsid w:val="27EC1F9F"/>
    <w:rsid w:val="283F20D0"/>
    <w:rsid w:val="28B46DE9"/>
    <w:rsid w:val="28B939EF"/>
    <w:rsid w:val="28CF3E48"/>
    <w:rsid w:val="28F84B43"/>
    <w:rsid w:val="291D7302"/>
    <w:rsid w:val="291F17FC"/>
    <w:rsid w:val="29231E73"/>
    <w:rsid w:val="292D106A"/>
    <w:rsid w:val="29410AEC"/>
    <w:rsid w:val="297978E6"/>
    <w:rsid w:val="29927A4E"/>
    <w:rsid w:val="29F81C85"/>
    <w:rsid w:val="2A066794"/>
    <w:rsid w:val="2A61579E"/>
    <w:rsid w:val="2A994270"/>
    <w:rsid w:val="2B15743C"/>
    <w:rsid w:val="2B7414D9"/>
    <w:rsid w:val="2B8939D5"/>
    <w:rsid w:val="2B9032D2"/>
    <w:rsid w:val="2B9F1B0C"/>
    <w:rsid w:val="2BBD43D2"/>
    <w:rsid w:val="2BC83B6E"/>
    <w:rsid w:val="2C1A6CEA"/>
    <w:rsid w:val="2C2A38E6"/>
    <w:rsid w:val="2C2B2B80"/>
    <w:rsid w:val="2C5B7754"/>
    <w:rsid w:val="2C9F72AD"/>
    <w:rsid w:val="2CA2529D"/>
    <w:rsid w:val="2CBB1650"/>
    <w:rsid w:val="2CBE19F6"/>
    <w:rsid w:val="2CC74EB6"/>
    <w:rsid w:val="2CCE420F"/>
    <w:rsid w:val="2D464F2D"/>
    <w:rsid w:val="2D901D4F"/>
    <w:rsid w:val="2E346694"/>
    <w:rsid w:val="2E585EB6"/>
    <w:rsid w:val="2E756F3C"/>
    <w:rsid w:val="2F6F0866"/>
    <w:rsid w:val="30444961"/>
    <w:rsid w:val="30976FBB"/>
    <w:rsid w:val="30B27859"/>
    <w:rsid w:val="31266B62"/>
    <w:rsid w:val="314B252D"/>
    <w:rsid w:val="31522662"/>
    <w:rsid w:val="318A412F"/>
    <w:rsid w:val="31C077E7"/>
    <w:rsid w:val="31D11801"/>
    <w:rsid w:val="328123C3"/>
    <w:rsid w:val="32B81AB0"/>
    <w:rsid w:val="32F61005"/>
    <w:rsid w:val="33064658"/>
    <w:rsid w:val="33275A6F"/>
    <w:rsid w:val="333A0463"/>
    <w:rsid w:val="335B60C2"/>
    <w:rsid w:val="33630233"/>
    <w:rsid w:val="336457B2"/>
    <w:rsid w:val="33E26171"/>
    <w:rsid w:val="33E85C36"/>
    <w:rsid w:val="343F0D4B"/>
    <w:rsid w:val="34583C3A"/>
    <w:rsid w:val="347A2859"/>
    <w:rsid w:val="352F456F"/>
    <w:rsid w:val="353714EB"/>
    <w:rsid w:val="35765CF6"/>
    <w:rsid w:val="35E140BD"/>
    <w:rsid w:val="36231D6F"/>
    <w:rsid w:val="365B20D6"/>
    <w:rsid w:val="36612F9F"/>
    <w:rsid w:val="367365E5"/>
    <w:rsid w:val="36902723"/>
    <w:rsid w:val="36953CD8"/>
    <w:rsid w:val="36B85657"/>
    <w:rsid w:val="36F6244F"/>
    <w:rsid w:val="37040303"/>
    <w:rsid w:val="37576C68"/>
    <w:rsid w:val="377B152A"/>
    <w:rsid w:val="377D72FB"/>
    <w:rsid w:val="37820B60"/>
    <w:rsid w:val="37A161DE"/>
    <w:rsid w:val="37CB3809"/>
    <w:rsid w:val="37D55E69"/>
    <w:rsid w:val="37E911FA"/>
    <w:rsid w:val="381903F7"/>
    <w:rsid w:val="385A5F5D"/>
    <w:rsid w:val="38703BDD"/>
    <w:rsid w:val="389771E3"/>
    <w:rsid w:val="38B91F44"/>
    <w:rsid w:val="396B46CF"/>
    <w:rsid w:val="398C79A3"/>
    <w:rsid w:val="39E67A24"/>
    <w:rsid w:val="39EE175A"/>
    <w:rsid w:val="3A070BE6"/>
    <w:rsid w:val="3A5208D7"/>
    <w:rsid w:val="3A6D1368"/>
    <w:rsid w:val="3A6D2AE0"/>
    <w:rsid w:val="3A7D4D6D"/>
    <w:rsid w:val="3A886309"/>
    <w:rsid w:val="3A904DA0"/>
    <w:rsid w:val="3B0F4EDF"/>
    <w:rsid w:val="3B287ACF"/>
    <w:rsid w:val="3B4536D8"/>
    <w:rsid w:val="3B6405FB"/>
    <w:rsid w:val="3BDB42E4"/>
    <w:rsid w:val="3BF4776D"/>
    <w:rsid w:val="3C153972"/>
    <w:rsid w:val="3C28071D"/>
    <w:rsid w:val="3C505CD1"/>
    <w:rsid w:val="3C5F749B"/>
    <w:rsid w:val="3C6537DE"/>
    <w:rsid w:val="3C79768C"/>
    <w:rsid w:val="3C810C03"/>
    <w:rsid w:val="3C912184"/>
    <w:rsid w:val="3CAC6323"/>
    <w:rsid w:val="3D266198"/>
    <w:rsid w:val="3D7353BD"/>
    <w:rsid w:val="3D802EF4"/>
    <w:rsid w:val="3DC34C62"/>
    <w:rsid w:val="3E4D5A71"/>
    <w:rsid w:val="3E676953"/>
    <w:rsid w:val="3E893233"/>
    <w:rsid w:val="3E951975"/>
    <w:rsid w:val="3EB45F5C"/>
    <w:rsid w:val="3EC26D84"/>
    <w:rsid w:val="3ED674CA"/>
    <w:rsid w:val="3EE81F94"/>
    <w:rsid w:val="3EE95CD4"/>
    <w:rsid w:val="3F07744D"/>
    <w:rsid w:val="3F24672E"/>
    <w:rsid w:val="3F381DB3"/>
    <w:rsid w:val="3F3C5B71"/>
    <w:rsid w:val="3F577277"/>
    <w:rsid w:val="3F6B044E"/>
    <w:rsid w:val="3FD820F5"/>
    <w:rsid w:val="3FFE04EC"/>
    <w:rsid w:val="4039566C"/>
    <w:rsid w:val="404E2AE4"/>
    <w:rsid w:val="405A242A"/>
    <w:rsid w:val="40917A55"/>
    <w:rsid w:val="40CA126A"/>
    <w:rsid w:val="40F43F1A"/>
    <w:rsid w:val="41532FAE"/>
    <w:rsid w:val="41842C98"/>
    <w:rsid w:val="41BC1CA5"/>
    <w:rsid w:val="41C632A4"/>
    <w:rsid w:val="42057C15"/>
    <w:rsid w:val="423F2F70"/>
    <w:rsid w:val="42670A50"/>
    <w:rsid w:val="427D788F"/>
    <w:rsid w:val="428A1EDA"/>
    <w:rsid w:val="430A0010"/>
    <w:rsid w:val="430D1706"/>
    <w:rsid w:val="43B35BEF"/>
    <w:rsid w:val="43F9269F"/>
    <w:rsid w:val="44831052"/>
    <w:rsid w:val="44A21D28"/>
    <w:rsid w:val="44E828B4"/>
    <w:rsid w:val="450B682F"/>
    <w:rsid w:val="451002B5"/>
    <w:rsid w:val="456A0612"/>
    <w:rsid w:val="458D6777"/>
    <w:rsid w:val="4590612D"/>
    <w:rsid w:val="45974811"/>
    <w:rsid w:val="46022BE9"/>
    <w:rsid w:val="46066A8D"/>
    <w:rsid w:val="46082FC4"/>
    <w:rsid w:val="460868F8"/>
    <w:rsid w:val="46295264"/>
    <w:rsid w:val="466A2CBB"/>
    <w:rsid w:val="46BA00BF"/>
    <w:rsid w:val="46C50767"/>
    <w:rsid w:val="46D66444"/>
    <w:rsid w:val="47350CC5"/>
    <w:rsid w:val="4754657C"/>
    <w:rsid w:val="47792485"/>
    <w:rsid w:val="477F0800"/>
    <w:rsid w:val="47DF047E"/>
    <w:rsid w:val="47F1067D"/>
    <w:rsid w:val="481E4E00"/>
    <w:rsid w:val="48350F2F"/>
    <w:rsid w:val="48673C7E"/>
    <w:rsid w:val="487F5414"/>
    <w:rsid w:val="488D5CBD"/>
    <w:rsid w:val="489E174F"/>
    <w:rsid w:val="48BD715B"/>
    <w:rsid w:val="493A3496"/>
    <w:rsid w:val="499C4437"/>
    <w:rsid w:val="49B35ADA"/>
    <w:rsid w:val="4A220A59"/>
    <w:rsid w:val="4A3C591C"/>
    <w:rsid w:val="4A797E30"/>
    <w:rsid w:val="4AC85072"/>
    <w:rsid w:val="4B115EC7"/>
    <w:rsid w:val="4B584189"/>
    <w:rsid w:val="4B646FFB"/>
    <w:rsid w:val="4B745559"/>
    <w:rsid w:val="4B8250E9"/>
    <w:rsid w:val="4B9374B4"/>
    <w:rsid w:val="4BAC6D9C"/>
    <w:rsid w:val="4BBC374F"/>
    <w:rsid w:val="4BD20857"/>
    <w:rsid w:val="4BD50393"/>
    <w:rsid w:val="4C371F41"/>
    <w:rsid w:val="4C392ED7"/>
    <w:rsid w:val="4CF124C7"/>
    <w:rsid w:val="4D1C29A0"/>
    <w:rsid w:val="4D222443"/>
    <w:rsid w:val="4D5544F7"/>
    <w:rsid w:val="4D55695C"/>
    <w:rsid w:val="4D6A2510"/>
    <w:rsid w:val="4D8D15C2"/>
    <w:rsid w:val="4DC23C9A"/>
    <w:rsid w:val="4E15316A"/>
    <w:rsid w:val="4E5C712A"/>
    <w:rsid w:val="4E821BAA"/>
    <w:rsid w:val="4E866187"/>
    <w:rsid w:val="4EA25710"/>
    <w:rsid w:val="4EB000D3"/>
    <w:rsid w:val="4ED432D3"/>
    <w:rsid w:val="4F105D44"/>
    <w:rsid w:val="4F6E5524"/>
    <w:rsid w:val="4FB40A0A"/>
    <w:rsid w:val="4FE96D90"/>
    <w:rsid w:val="4FEA236B"/>
    <w:rsid w:val="50147B70"/>
    <w:rsid w:val="501A11B7"/>
    <w:rsid w:val="502F0E22"/>
    <w:rsid w:val="503D4610"/>
    <w:rsid w:val="5070592D"/>
    <w:rsid w:val="50710ED8"/>
    <w:rsid w:val="507A030E"/>
    <w:rsid w:val="509462D0"/>
    <w:rsid w:val="50F45E6D"/>
    <w:rsid w:val="50F51557"/>
    <w:rsid w:val="51A67337"/>
    <w:rsid w:val="51AD3D02"/>
    <w:rsid w:val="51DC6281"/>
    <w:rsid w:val="523A17FC"/>
    <w:rsid w:val="52730954"/>
    <w:rsid w:val="52C57509"/>
    <w:rsid w:val="530C1669"/>
    <w:rsid w:val="53104FF3"/>
    <w:rsid w:val="535A42C0"/>
    <w:rsid w:val="53A66F6C"/>
    <w:rsid w:val="53A8301E"/>
    <w:rsid w:val="53AE34C9"/>
    <w:rsid w:val="549C6DBA"/>
    <w:rsid w:val="54AE4B77"/>
    <w:rsid w:val="54B64947"/>
    <w:rsid w:val="55560686"/>
    <w:rsid w:val="561F7184"/>
    <w:rsid w:val="56392B05"/>
    <w:rsid w:val="56562308"/>
    <w:rsid w:val="5668447C"/>
    <w:rsid w:val="56686009"/>
    <w:rsid w:val="56966559"/>
    <w:rsid w:val="56B21163"/>
    <w:rsid w:val="56B35EA7"/>
    <w:rsid w:val="56D52E2B"/>
    <w:rsid w:val="5703780B"/>
    <w:rsid w:val="57143E2F"/>
    <w:rsid w:val="571C1DF1"/>
    <w:rsid w:val="57314E4E"/>
    <w:rsid w:val="57472442"/>
    <w:rsid w:val="57642782"/>
    <w:rsid w:val="57910EEC"/>
    <w:rsid w:val="57B93333"/>
    <w:rsid w:val="57CB25CC"/>
    <w:rsid w:val="581B2712"/>
    <w:rsid w:val="58313B83"/>
    <w:rsid w:val="583355C2"/>
    <w:rsid w:val="5883472C"/>
    <w:rsid w:val="58AA6505"/>
    <w:rsid w:val="58DD2F95"/>
    <w:rsid w:val="58E10BDE"/>
    <w:rsid w:val="59365FBF"/>
    <w:rsid w:val="59653465"/>
    <w:rsid w:val="59785C59"/>
    <w:rsid w:val="599754A7"/>
    <w:rsid w:val="5A1836EB"/>
    <w:rsid w:val="5A824155"/>
    <w:rsid w:val="5A955476"/>
    <w:rsid w:val="5AD20352"/>
    <w:rsid w:val="5AE970FE"/>
    <w:rsid w:val="5B191377"/>
    <w:rsid w:val="5B195DCB"/>
    <w:rsid w:val="5B1A1473"/>
    <w:rsid w:val="5B5A5710"/>
    <w:rsid w:val="5B5F2066"/>
    <w:rsid w:val="5BB91D4F"/>
    <w:rsid w:val="5BC3339C"/>
    <w:rsid w:val="5BC85E20"/>
    <w:rsid w:val="5D4D4876"/>
    <w:rsid w:val="5DB7364F"/>
    <w:rsid w:val="5DE01011"/>
    <w:rsid w:val="5DFF3AC4"/>
    <w:rsid w:val="5E263E4C"/>
    <w:rsid w:val="5E2A7B88"/>
    <w:rsid w:val="5ECF56DD"/>
    <w:rsid w:val="5EF21D08"/>
    <w:rsid w:val="5EFC55C2"/>
    <w:rsid w:val="5F216531"/>
    <w:rsid w:val="5F3C6B9D"/>
    <w:rsid w:val="5F894125"/>
    <w:rsid w:val="5F977E59"/>
    <w:rsid w:val="603F6015"/>
    <w:rsid w:val="60672361"/>
    <w:rsid w:val="60911F51"/>
    <w:rsid w:val="60971F86"/>
    <w:rsid w:val="60DC718D"/>
    <w:rsid w:val="611E6F2B"/>
    <w:rsid w:val="613E5BFE"/>
    <w:rsid w:val="621B2348"/>
    <w:rsid w:val="624C5DA4"/>
    <w:rsid w:val="62607B57"/>
    <w:rsid w:val="626D63D0"/>
    <w:rsid w:val="628042DF"/>
    <w:rsid w:val="62951C1B"/>
    <w:rsid w:val="630854AB"/>
    <w:rsid w:val="634D74F9"/>
    <w:rsid w:val="635031CD"/>
    <w:rsid w:val="6371605C"/>
    <w:rsid w:val="63A21FFE"/>
    <w:rsid w:val="63A97F35"/>
    <w:rsid w:val="63AB1A91"/>
    <w:rsid w:val="64324C0C"/>
    <w:rsid w:val="643D3240"/>
    <w:rsid w:val="6458289B"/>
    <w:rsid w:val="64724938"/>
    <w:rsid w:val="64A5552C"/>
    <w:rsid w:val="64C47B18"/>
    <w:rsid w:val="65A119E7"/>
    <w:rsid w:val="65C126FF"/>
    <w:rsid w:val="65F93D81"/>
    <w:rsid w:val="66317CF6"/>
    <w:rsid w:val="663C410E"/>
    <w:rsid w:val="66403954"/>
    <w:rsid w:val="669D13B7"/>
    <w:rsid w:val="66B546F0"/>
    <w:rsid w:val="66B83C92"/>
    <w:rsid w:val="66DE070A"/>
    <w:rsid w:val="6703549C"/>
    <w:rsid w:val="673A2A49"/>
    <w:rsid w:val="674F314A"/>
    <w:rsid w:val="675A6D1E"/>
    <w:rsid w:val="676D2E91"/>
    <w:rsid w:val="67F03179"/>
    <w:rsid w:val="68105B0A"/>
    <w:rsid w:val="68123593"/>
    <w:rsid w:val="683C73B1"/>
    <w:rsid w:val="684D2237"/>
    <w:rsid w:val="68760BC9"/>
    <w:rsid w:val="689C6CD7"/>
    <w:rsid w:val="68AD1290"/>
    <w:rsid w:val="68C24091"/>
    <w:rsid w:val="68DF53F1"/>
    <w:rsid w:val="692E1B1A"/>
    <w:rsid w:val="695F493B"/>
    <w:rsid w:val="696F6BE4"/>
    <w:rsid w:val="698039BA"/>
    <w:rsid w:val="69F71F6E"/>
    <w:rsid w:val="6A023AC4"/>
    <w:rsid w:val="6A043B2B"/>
    <w:rsid w:val="6A7E4AAF"/>
    <w:rsid w:val="6AA62419"/>
    <w:rsid w:val="6AB514DC"/>
    <w:rsid w:val="6ACD6505"/>
    <w:rsid w:val="6AD31D28"/>
    <w:rsid w:val="6AFF1433"/>
    <w:rsid w:val="6B195042"/>
    <w:rsid w:val="6B9F7419"/>
    <w:rsid w:val="6BD6029E"/>
    <w:rsid w:val="6BD878B3"/>
    <w:rsid w:val="6C1A3DE9"/>
    <w:rsid w:val="6C7C54BE"/>
    <w:rsid w:val="6C9D1D07"/>
    <w:rsid w:val="6CB23515"/>
    <w:rsid w:val="6CB32F8B"/>
    <w:rsid w:val="6CBD6E76"/>
    <w:rsid w:val="6CBE69DE"/>
    <w:rsid w:val="6CE6053C"/>
    <w:rsid w:val="6CF926FA"/>
    <w:rsid w:val="6D232396"/>
    <w:rsid w:val="6D303383"/>
    <w:rsid w:val="6D9564A1"/>
    <w:rsid w:val="6DC00A06"/>
    <w:rsid w:val="6DF2156F"/>
    <w:rsid w:val="6DF7402B"/>
    <w:rsid w:val="6DF93875"/>
    <w:rsid w:val="6EA01B25"/>
    <w:rsid w:val="6EB56BD7"/>
    <w:rsid w:val="6F5B418D"/>
    <w:rsid w:val="6F915FDB"/>
    <w:rsid w:val="6FD315C3"/>
    <w:rsid w:val="6FF723C3"/>
    <w:rsid w:val="701704B6"/>
    <w:rsid w:val="70474D32"/>
    <w:rsid w:val="70772053"/>
    <w:rsid w:val="70DC241A"/>
    <w:rsid w:val="70F806AF"/>
    <w:rsid w:val="716E59A9"/>
    <w:rsid w:val="71AA05CD"/>
    <w:rsid w:val="71DB12B3"/>
    <w:rsid w:val="72993414"/>
    <w:rsid w:val="72D73A11"/>
    <w:rsid w:val="72F01471"/>
    <w:rsid w:val="73047240"/>
    <w:rsid w:val="7350660E"/>
    <w:rsid w:val="73B30DE8"/>
    <w:rsid w:val="74175395"/>
    <w:rsid w:val="74180CAE"/>
    <w:rsid w:val="745E14CE"/>
    <w:rsid w:val="74612D49"/>
    <w:rsid w:val="74627BBE"/>
    <w:rsid w:val="74A21188"/>
    <w:rsid w:val="74BE2D01"/>
    <w:rsid w:val="74BF0FAA"/>
    <w:rsid w:val="74EA40F3"/>
    <w:rsid w:val="75011284"/>
    <w:rsid w:val="7511571C"/>
    <w:rsid w:val="75171229"/>
    <w:rsid w:val="75210FD7"/>
    <w:rsid w:val="752D40F6"/>
    <w:rsid w:val="753668F2"/>
    <w:rsid w:val="753B4778"/>
    <w:rsid w:val="754F13C9"/>
    <w:rsid w:val="758555E1"/>
    <w:rsid w:val="75B40CC5"/>
    <w:rsid w:val="75C0143F"/>
    <w:rsid w:val="75C0608E"/>
    <w:rsid w:val="75CF43CE"/>
    <w:rsid w:val="75E06548"/>
    <w:rsid w:val="75EC7066"/>
    <w:rsid w:val="760C57E3"/>
    <w:rsid w:val="76930EED"/>
    <w:rsid w:val="769E0D19"/>
    <w:rsid w:val="76EA76C2"/>
    <w:rsid w:val="76F507BA"/>
    <w:rsid w:val="772546B8"/>
    <w:rsid w:val="772D27AF"/>
    <w:rsid w:val="774A78C1"/>
    <w:rsid w:val="78533997"/>
    <w:rsid w:val="78D056D3"/>
    <w:rsid w:val="78F20AC6"/>
    <w:rsid w:val="794E7D2A"/>
    <w:rsid w:val="79747571"/>
    <w:rsid w:val="799A0EF5"/>
    <w:rsid w:val="79FA7066"/>
    <w:rsid w:val="79FE105C"/>
    <w:rsid w:val="7A0D12B9"/>
    <w:rsid w:val="7A11454C"/>
    <w:rsid w:val="7A2D6D03"/>
    <w:rsid w:val="7A9279A1"/>
    <w:rsid w:val="7AE73146"/>
    <w:rsid w:val="7B276F1B"/>
    <w:rsid w:val="7B663C59"/>
    <w:rsid w:val="7B683207"/>
    <w:rsid w:val="7B6A6379"/>
    <w:rsid w:val="7BDC5744"/>
    <w:rsid w:val="7C2876C8"/>
    <w:rsid w:val="7CAD2803"/>
    <w:rsid w:val="7CAE64BE"/>
    <w:rsid w:val="7CB54CD9"/>
    <w:rsid w:val="7CBE5D19"/>
    <w:rsid w:val="7D4816AF"/>
    <w:rsid w:val="7D661672"/>
    <w:rsid w:val="7DA5658D"/>
    <w:rsid w:val="7DE90634"/>
    <w:rsid w:val="7E170D1B"/>
    <w:rsid w:val="7E26327E"/>
    <w:rsid w:val="7E443971"/>
    <w:rsid w:val="7E6F31CB"/>
    <w:rsid w:val="7E773529"/>
    <w:rsid w:val="7E9F0690"/>
    <w:rsid w:val="7EBD792C"/>
    <w:rsid w:val="7F16330A"/>
    <w:rsid w:val="7F2D10E0"/>
    <w:rsid w:val="7F590EFE"/>
    <w:rsid w:val="7F742D5A"/>
    <w:rsid w:val="7FBE2D05"/>
    <w:rsid w:val="7FD67E26"/>
    <w:rsid w:val="7FDC5C54"/>
    <w:rsid w:val="7FF34F89"/>
    <w:rsid w:val="7FFF61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uiPriority="39" w:name="toc 5" w:locked="1"/>
    <w:lsdException w:uiPriority="39" w:name="toc 6" w:locked="1"/>
    <w:lsdException w:qFormat="1" w:unhideWhenUsed="0" w:uiPriority="99" w:name="toc 7"/>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qFormat="1" w:unhideWhenUsed="0" w:uiPriority="99" w:semiHidden="0" w:name="Closing"/>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45"/>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4">
    <w:name w:val="heading 2"/>
    <w:basedOn w:val="1"/>
    <w:next w:val="1"/>
    <w:link w:val="46"/>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link w:val="47"/>
    <w:qFormat/>
    <w:uiPriority w:val="99"/>
    <w:pPr>
      <w:keepNext/>
      <w:keepLines/>
      <w:spacing w:before="260" w:after="260" w:line="416" w:lineRule="auto"/>
      <w:jc w:val="center"/>
      <w:outlineLvl w:val="2"/>
    </w:pPr>
    <w:rPr>
      <w:b/>
      <w:bCs/>
      <w:sz w:val="28"/>
      <w:szCs w:val="28"/>
    </w:rPr>
  </w:style>
  <w:style w:type="paragraph" w:styleId="6">
    <w:name w:val="heading 4"/>
    <w:basedOn w:val="1"/>
    <w:next w:val="1"/>
    <w:link w:val="48"/>
    <w:qFormat/>
    <w:uiPriority w:val="99"/>
    <w:pPr>
      <w:keepNext/>
      <w:keepLines/>
      <w:spacing w:before="280" w:after="290" w:line="376" w:lineRule="auto"/>
      <w:outlineLvl w:val="3"/>
    </w:pPr>
    <w:rPr>
      <w:rFonts w:ascii="Arial" w:hAnsi="Arial" w:eastAsia="黑体" w:cs="Arial"/>
      <w:b/>
      <w:bCs/>
      <w:sz w:val="28"/>
      <w:szCs w:val="28"/>
    </w:rPr>
  </w:style>
  <w:style w:type="paragraph" w:styleId="7">
    <w:name w:val="heading 6"/>
    <w:basedOn w:val="1"/>
    <w:next w:val="1"/>
    <w:link w:val="49"/>
    <w:qFormat/>
    <w:uiPriority w:val="99"/>
    <w:pPr>
      <w:keepNext/>
      <w:keepLines/>
      <w:spacing w:before="240" w:after="64" w:line="317" w:lineRule="auto"/>
      <w:outlineLvl w:val="5"/>
    </w:pPr>
    <w:rPr>
      <w:rFonts w:ascii="Cambria" w:hAnsi="Cambria" w:cs="Cambria"/>
      <w:b/>
      <w:bCs/>
      <w:sz w:val="24"/>
      <w:szCs w:val="24"/>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link w:val="51"/>
    <w:qFormat/>
    <w:uiPriority w:val="99"/>
    <w:pPr>
      <w:ind w:firstLine="420" w:firstLineChars="100"/>
    </w:pPr>
  </w:style>
  <w:style w:type="paragraph" w:styleId="8">
    <w:name w:val="toc 7"/>
    <w:basedOn w:val="1"/>
    <w:next w:val="1"/>
    <w:semiHidden/>
    <w:qFormat/>
    <w:uiPriority w:val="99"/>
    <w:pPr>
      <w:ind w:left="112"/>
    </w:pPr>
    <w:rPr>
      <w:rFonts w:ascii="宋体" w:hAnsi="宋体" w:cs="宋体"/>
    </w:rPr>
  </w:style>
  <w:style w:type="paragraph" w:styleId="9">
    <w:name w:val="Normal Indent"/>
    <w:basedOn w:val="1"/>
    <w:link w:val="128"/>
    <w:qFormat/>
    <w:uiPriority w:val="99"/>
    <w:pPr>
      <w:ind w:firstLine="420" w:firstLineChars="200"/>
    </w:pPr>
  </w:style>
  <w:style w:type="paragraph" w:styleId="10">
    <w:name w:val="caption"/>
    <w:basedOn w:val="1"/>
    <w:next w:val="1"/>
    <w:qFormat/>
    <w:uiPriority w:val="99"/>
    <w:rPr>
      <w:rFonts w:ascii="Arial" w:hAnsi="Arial" w:eastAsia="黑体" w:cs="Arial"/>
      <w:sz w:val="20"/>
      <w:szCs w:val="20"/>
    </w:rPr>
  </w:style>
  <w:style w:type="paragraph" w:styleId="11">
    <w:name w:val="Document Map"/>
    <w:basedOn w:val="1"/>
    <w:link w:val="54"/>
    <w:semiHidden/>
    <w:qFormat/>
    <w:uiPriority w:val="99"/>
    <w:pPr>
      <w:shd w:val="clear" w:color="auto" w:fill="000080"/>
    </w:pPr>
  </w:style>
  <w:style w:type="paragraph" w:styleId="12">
    <w:name w:val="annotation text"/>
    <w:basedOn w:val="1"/>
    <w:link w:val="52"/>
    <w:semiHidden/>
    <w:qFormat/>
    <w:uiPriority w:val="99"/>
    <w:pPr>
      <w:jc w:val="left"/>
    </w:pPr>
    <w:rPr>
      <w:rFonts w:ascii="Times New Roman" w:hAnsi="Times New Roman" w:cs="Times New Roman"/>
    </w:rPr>
  </w:style>
  <w:style w:type="paragraph" w:styleId="13">
    <w:name w:val="Body Text 3"/>
    <w:basedOn w:val="1"/>
    <w:link w:val="55"/>
    <w:qFormat/>
    <w:uiPriority w:val="99"/>
    <w:pPr>
      <w:spacing w:after="120"/>
    </w:pPr>
    <w:rPr>
      <w:sz w:val="16"/>
      <w:szCs w:val="16"/>
    </w:rPr>
  </w:style>
  <w:style w:type="paragraph" w:styleId="14">
    <w:name w:val="Closing"/>
    <w:basedOn w:val="1"/>
    <w:link w:val="56"/>
    <w:qFormat/>
    <w:uiPriority w:val="99"/>
    <w:pPr>
      <w:ind w:left="100" w:leftChars="2100"/>
    </w:pPr>
    <w:rPr>
      <w:rFonts w:ascii="宋体" w:hAnsi="宋体" w:cs="宋体"/>
      <w:color w:val="000000"/>
      <w:sz w:val="24"/>
      <w:szCs w:val="24"/>
    </w:rPr>
  </w:style>
  <w:style w:type="paragraph" w:styleId="15">
    <w:name w:val="Body Text"/>
    <w:basedOn w:val="1"/>
    <w:next w:val="1"/>
    <w:link w:val="50"/>
    <w:qFormat/>
    <w:uiPriority w:val="99"/>
    <w:pPr>
      <w:spacing w:after="120"/>
    </w:pPr>
    <w:rPr>
      <w:rFonts w:ascii="Times New Roman" w:hAnsi="Times New Roman" w:cs="Times New Roman"/>
    </w:rPr>
  </w:style>
  <w:style w:type="paragraph" w:styleId="16">
    <w:name w:val="Body Text Indent"/>
    <w:basedOn w:val="1"/>
    <w:link w:val="57"/>
    <w:qFormat/>
    <w:uiPriority w:val="99"/>
    <w:pPr>
      <w:spacing w:after="120"/>
      <w:ind w:left="420" w:leftChars="200"/>
    </w:pPr>
    <w:rPr>
      <w:rFonts w:ascii="Times New Roman" w:hAnsi="Times New Roman" w:cs="Times New Roman"/>
    </w:rPr>
  </w:style>
  <w:style w:type="paragraph" w:styleId="17">
    <w:name w:val="toc 3"/>
    <w:basedOn w:val="1"/>
    <w:next w:val="1"/>
    <w:semiHidden/>
    <w:qFormat/>
    <w:uiPriority w:val="99"/>
    <w:pPr>
      <w:ind w:left="840" w:leftChars="400"/>
    </w:pPr>
  </w:style>
  <w:style w:type="paragraph" w:styleId="18">
    <w:name w:val="Plain Text"/>
    <w:basedOn w:val="1"/>
    <w:link w:val="58"/>
    <w:qFormat/>
    <w:uiPriority w:val="99"/>
    <w:rPr>
      <w:rFonts w:ascii="宋体" w:hAnsi="Courier New" w:cs="宋体"/>
    </w:rPr>
  </w:style>
  <w:style w:type="paragraph" w:styleId="19">
    <w:name w:val="Date"/>
    <w:basedOn w:val="1"/>
    <w:next w:val="1"/>
    <w:link w:val="59"/>
    <w:qFormat/>
    <w:uiPriority w:val="99"/>
    <w:rPr>
      <w:rFonts w:ascii="宋体" w:hAnsi="Courier New" w:cs="宋体"/>
      <w:sz w:val="32"/>
      <w:szCs w:val="32"/>
    </w:rPr>
  </w:style>
  <w:style w:type="paragraph" w:styleId="20">
    <w:name w:val="Body Text Indent 2"/>
    <w:basedOn w:val="1"/>
    <w:link w:val="60"/>
    <w:qFormat/>
    <w:uiPriority w:val="99"/>
    <w:pPr>
      <w:spacing w:line="500" w:lineRule="exact"/>
      <w:ind w:left="397" w:firstLine="539"/>
    </w:pPr>
    <w:rPr>
      <w:rFonts w:ascii="宋体" w:hAnsi="华文中宋" w:cs="宋体"/>
      <w:sz w:val="26"/>
      <w:szCs w:val="26"/>
    </w:rPr>
  </w:style>
  <w:style w:type="paragraph" w:styleId="21">
    <w:name w:val="Balloon Text"/>
    <w:basedOn w:val="1"/>
    <w:link w:val="61"/>
    <w:semiHidden/>
    <w:qFormat/>
    <w:uiPriority w:val="99"/>
    <w:rPr>
      <w:rFonts w:ascii="Times New Roman" w:hAnsi="Times New Roman" w:cs="Times New Roman"/>
      <w:sz w:val="18"/>
      <w:szCs w:val="18"/>
    </w:rPr>
  </w:style>
  <w:style w:type="paragraph" w:styleId="22">
    <w:name w:val="footer"/>
    <w:basedOn w:val="1"/>
    <w:link w:val="62"/>
    <w:qFormat/>
    <w:uiPriority w:val="99"/>
    <w:pPr>
      <w:tabs>
        <w:tab w:val="center" w:pos="4153"/>
        <w:tab w:val="right" w:pos="8306"/>
      </w:tabs>
      <w:snapToGrid w:val="0"/>
      <w:jc w:val="left"/>
    </w:pPr>
    <w:rPr>
      <w:rFonts w:ascii="Times New Roman" w:hAnsi="Times New Roman" w:cs="Times New Roman"/>
      <w:sz w:val="18"/>
      <w:szCs w:val="18"/>
    </w:rPr>
  </w:style>
  <w:style w:type="paragraph" w:styleId="23">
    <w:name w:val="header"/>
    <w:basedOn w:val="1"/>
    <w:link w:val="63"/>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24">
    <w:name w:val="toc 1"/>
    <w:basedOn w:val="1"/>
    <w:next w:val="1"/>
    <w:semiHidden/>
    <w:qFormat/>
    <w:uiPriority w:val="99"/>
    <w:pPr>
      <w:tabs>
        <w:tab w:val="right" w:leader="dot" w:pos="8299"/>
      </w:tabs>
      <w:spacing w:line="360" w:lineRule="exact"/>
    </w:pPr>
    <w:rPr>
      <w:rFonts w:ascii="宋体" w:hAnsi="宋体" w:cs="宋体"/>
      <w:sz w:val="24"/>
      <w:szCs w:val="24"/>
    </w:rPr>
  </w:style>
  <w:style w:type="paragraph" w:styleId="25">
    <w:name w:val="toc 4"/>
    <w:basedOn w:val="1"/>
    <w:next w:val="1"/>
    <w:semiHidden/>
    <w:qFormat/>
    <w:uiPriority w:val="99"/>
    <w:pPr>
      <w:ind w:left="1260" w:leftChars="600"/>
    </w:pPr>
  </w:style>
  <w:style w:type="paragraph" w:styleId="26">
    <w:name w:val="index heading"/>
    <w:basedOn w:val="1"/>
    <w:next w:val="27"/>
    <w:semiHidden/>
    <w:qFormat/>
    <w:uiPriority w:val="99"/>
  </w:style>
  <w:style w:type="paragraph" w:styleId="27">
    <w:name w:val="index 1"/>
    <w:basedOn w:val="1"/>
    <w:next w:val="1"/>
    <w:semiHidden/>
    <w:qFormat/>
    <w:uiPriority w:val="99"/>
  </w:style>
  <w:style w:type="paragraph" w:styleId="28">
    <w:name w:val="Subtitle"/>
    <w:basedOn w:val="1"/>
    <w:next w:val="1"/>
    <w:link w:val="64"/>
    <w:qFormat/>
    <w:uiPriority w:val="99"/>
    <w:pPr>
      <w:spacing w:before="240" w:after="60" w:line="312" w:lineRule="auto"/>
      <w:jc w:val="center"/>
      <w:outlineLvl w:val="1"/>
    </w:pPr>
    <w:rPr>
      <w:rFonts w:ascii="Cambria" w:hAnsi="Cambria" w:cs="Cambria"/>
      <w:b/>
      <w:bCs/>
      <w:kern w:val="28"/>
      <w:sz w:val="32"/>
      <w:szCs w:val="32"/>
    </w:rPr>
  </w:style>
  <w:style w:type="paragraph" w:styleId="29">
    <w:name w:val="toc 2"/>
    <w:basedOn w:val="1"/>
    <w:next w:val="1"/>
    <w:semiHidden/>
    <w:qFormat/>
    <w:uiPriority w:val="99"/>
    <w:pPr>
      <w:tabs>
        <w:tab w:val="right" w:leader="dot" w:pos="8296"/>
      </w:tabs>
      <w:spacing w:line="440" w:lineRule="exact"/>
      <w:ind w:firstLine="181" w:firstLineChars="75"/>
      <w:jc w:val="center"/>
    </w:pPr>
    <w:rPr>
      <w:rFonts w:ascii="宋体" w:hAnsi="宋体" w:cs="宋体"/>
      <w:b/>
      <w:bCs/>
      <w:smallCaps/>
      <w:sz w:val="24"/>
      <w:szCs w:val="24"/>
    </w:rPr>
  </w:style>
  <w:style w:type="paragraph" w:styleId="30">
    <w:name w:val="Body Text 2"/>
    <w:basedOn w:val="1"/>
    <w:link w:val="65"/>
    <w:qFormat/>
    <w:uiPriority w:val="99"/>
    <w:pPr>
      <w:spacing w:line="360" w:lineRule="auto"/>
    </w:pPr>
    <w:rPr>
      <w:rFonts w:ascii="宋体" w:hAnsi="宋体" w:cs="宋体"/>
      <w:color w:val="000000"/>
      <w:sz w:val="24"/>
      <w:szCs w:val="24"/>
    </w:rPr>
  </w:style>
  <w:style w:type="paragraph" w:styleId="31">
    <w:name w:val="HTML Preformatted"/>
    <w:basedOn w:val="1"/>
    <w:link w:val="6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3">
    <w:name w:val="Title"/>
    <w:basedOn w:val="1"/>
    <w:next w:val="1"/>
    <w:link w:val="67"/>
    <w:qFormat/>
    <w:uiPriority w:val="99"/>
    <w:pPr>
      <w:spacing w:before="240" w:after="60"/>
      <w:jc w:val="center"/>
      <w:outlineLvl w:val="0"/>
    </w:pPr>
    <w:rPr>
      <w:rFonts w:ascii="Arial" w:hAnsi="Arial" w:eastAsia="隶书" w:cs="Arial"/>
      <w:b/>
      <w:bCs/>
      <w:sz w:val="32"/>
      <w:szCs w:val="32"/>
    </w:rPr>
  </w:style>
  <w:style w:type="paragraph" w:styleId="34">
    <w:name w:val="annotation subject"/>
    <w:basedOn w:val="12"/>
    <w:next w:val="12"/>
    <w:link w:val="53"/>
    <w:semiHidden/>
    <w:qFormat/>
    <w:uiPriority w:val="99"/>
    <w:rPr>
      <w:b/>
      <w:bCs/>
    </w:rPr>
  </w:style>
  <w:style w:type="table" w:styleId="36">
    <w:name w:val="Table Grid"/>
    <w:basedOn w:val="3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99"/>
    <w:rPr>
      <w:b/>
      <w:bCs/>
    </w:rPr>
  </w:style>
  <w:style w:type="character" w:styleId="39">
    <w:name w:val="page number"/>
    <w:basedOn w:val="37"/>
    <w:qFormat/>
    <w:uiPriority w:val="0"/>
    <w:rPr>
      <w:rFonts w:ascii="Arial" w:hAnsi="Arial" w:cs="Arial"/>
      <w:sz w:val="18"/>
      <w:szCs w:val="18"/>
    </w:rPr>
  </w:style>
  <w:style w:type="character" w:styleId="40">
    <w:name w:val="FollowedHyperlink"/>
    <w:qFormat/>
    <w:uiPriority w:val="99"/>
    <w:rPr>
      <w:color w:val="800080"/>
      <w:u w:val="single"/>
    </w:rPr>
  </w:style>
  <w:style w:type="character" w:styleId="41">
    <w:name w:val="Emphasis"/>
    <w:qFormat/>
    <w:uiPriority w:val="99"/>
    <w:rPr>
      <w:color w:val="auto"/>
    </w:rPr>
  </w:style>
  <w:style w:type="character" w:styleId="42">
    <w:name w:val="Hyperlink"/>
    <w:qFormat/>
    <w:uiPriority w:val="99"/>
    <w:rPr>
      <w:color w:val="0000FF"/>
      <w:u w:val="single"/>
    </w:rPr>
  </w:style>
  <w:style w:type="character" w:styleId="43">
    <w:name w:val="annotation reference"/>
    <w:semiHidden/>
    <w:qFormat/>
    <w:uiPriority w:val="99"/>
    <w:rPr>
      <w:sz w:val="21"/>
      <w:szCs w:val="21"/>
    </w:rPr>
  </w:style>
  <w:style w:type="character" w:styleId="44">
    <w:name w:val="HTML Cite"/>
    <w:qFormat/>
    <w:uiPriority w:val="99"/>
    <w:rPr>
      <w:color w:val="008000"/>
    </w:rPr>
  </w:style>
  <w:style w:type="character" w:customStyle="1" w:styleId="45">
    <w:name w:val="标题 1 Char"/>
    <w:link w:val="3"/>
    <w:qFormat/>
    <w:locked/>
    <w:uiPriority w:val="99"/>
    <w:rPr>
      <w:b/>
      <w:bCs/>
      <w:kern w:val="44"/>
      <w:sz w:val="44"/>
      <w:szCs w:val="44"/>
    </w:rPr>
  </w:style>
  <w:style w:type="character" w:customStyle="1" w:styleId="46">
    <w:name w:val="标题 2 Char"/>
    <w:link w:val="4"/>
    <w:qFormat/>
    <w:locked/>
    <w:uiPriority w:val="99"/>
    <w:rPr>
      <w:rFonts w:ascii="Arial" w:hAnsi="Arial" w:eastAsia="黑体" w:cs="Arial"/>
      <w:b/>
      <w:bCs/>
      <w:kern w:val="2"/>
      <w:sz w:val="32"/>
      <w:szCs w:val="32"/>
      <w:lang w:val="en-US" w:eastAsia="zh-CN"/>
    </w:rPr>
  </w:style>
  <w:style w:type="character" w:customStyle="1" w:styleId="47">
    <w:name w:val="标题 3 Char"/>
    <w:link w:val="5"/>
    <w:semiHidden/>
    <w:qFormat/>
    <w:uiPriority w:val="9"/>
    <w:rPr>
      <w:rFonts w:ascii="Calibri" w:hAnsi="Calibri" w:cs="Calibri"/>
      <w:b/>
      <w:bCs/>
      <w:sz w:val="32"/>
      <w:szCs w:val="32"/>
    </w:rPr>
  </w:style>
  <w:style w:type="character" w:customStyle="1" w:styleId="48">
    <w:name w:val="标题 4 Char"/>
    <w:link w:val="6"/>
    <w:qFormat/>
    <w:locked/>
    <w:uiPriority w:val="99"/>
    <w:rPr>
      <w:rFonts w:ascii="Arial" w:hAnsi="Arial" w:eastAsia="黑体" w:cs="Arial"/>
      <w:b/>
      <w:bCs/>
      <w:kern w:val="2"/>
      <w:sz w:val="28"/>
      <w:szCs w:val="28"/>
      <w:lang w:val="en-US" w:eastAsia="zh-CN"/>
    </w:rPr>
  </w:style>
  <w:style w:type="character" w:customStyle="1" w:styleId="49">
    <w:name w:val="标题 6 Char"/>
    <w:link w:val="7"/>
    <w:qFormat/>
    <w:locked/>
    <w:uiPriority w:val="99"/>
    <w:rPr>
      <w:rFonts w:ascii="Cambria" w:hAnsi="Cambria" w:eastAsia="宋体" w:cs="Cambria"/>
      <w:b/>
      <w:bCs/>
      <w:kern w:val="2"/>
      <w:sz w:val="24"/>
      <w:szCs w:val="24"/>
      <w:lang w:val="en-US" w:eastAsia="zh-CN"/>
    </w:rPr>
  </w:style>
  <w:style w:type="character" w:customStyle="1" w:styleId="50">
    <w:name w:val="正文文本 Char"/>
    <w:link w:val="15"/>
    <w:qFormat/>
    <w:locked/>
    <w:uiPriority w:val="99"/>
    <w:rPr>
      <w:rFonts w:eastAsia="宋体"/>
      <w:kern w:val="2"/>
      <w:sz w:val="24"/>
      <w:szCs w:val="24"/>
      <w:lang w:val="en-US" w:eastAsia="zh-CN"/>
    </w:rPr>
  </w:style>
  <w:style w:type="character" w:customStyle="1" w:styleId="51">
    <w:name w:val="正文首行缩进 Char"/>
    <w:link w:val="2"/>
    <w:semiHidden/>
    <w:qFormat/>
    <w:uiPriority w:val="99"/>
    <w:rPr>
      <w:rFonts w:ascii="Calibri" w:hAnsi="Calibri" w:eastAsia="宋体" w:cs="Calibri"/>
      <w:kern w:val="2"/>
      <w:sz w:val="24"/>
      <w:szCs w:val="21"/>
      <w:lang w:val="en-US" w:eastAsia="zh-CN"/>
    </w:rPr>
  </w:style>
  <w:style w:type="character" w:customStyle="1" w:styleId="52">
    <w:name w:val="批注文字 Char"/>
    <w:link w:val="12"/>
    <w:qFormat/>
    <w:locked/>
    <w:uiPriority w:val="99"/>
    <w:rPr>
      <w:rFonts w:eastAsia="宋体"/>
      <w:kern w:val="2"/>
      <w:sz w:val="24"/>
      <w:szCs w:val="24"/>
      <w:lang w:val="en-US" w:eastAsia="zh-CN"/>
    </w:rPr>
  </w:style>
  <w:style w:type="character" w:customStyle="1" w:styleId="53">
    <w:name w:val="批注主题 Char"/>
    <w:link w:val="34"/>
    <w:qFormat/>
    <w:locked/>
    <w:uiPriority w:val="99"/>
    <w:rPr>
      <w:rFonts w:eastAsia="宋体"/>
      <w:b/>
      <w:bCs/>
      <w:kern w:val="2"/>
      <w:sz w:val="24"/>
      <w:szCs w:val="24"/>
      <w:lang w:val="en-US" w:eastAsia="zh-CN"/>
    </w:rPr>
  </w:style>
  <w:style w:type="character" w:customStyle="1" w:styleId="54">
    <w:name w:val="文档结构图 Char"/>
    <w:link w:val="11"/>
    <w:semiHidden/>
    <w:qFormat/>
    <w:uiPriority w:val="99"/>
    <w:rPr>
      <w:rFonts w:cs="Calibri"/>
      <w:sz w:val="0"/>
      <w:szCs w:val="0"/>
    </w:rPr>
  </w:style>
  <w:style w:type="character" w:customStyle="1" w:styleId="55">
    <w:name w:val="正文文本 3 Char"/>
    <w:link w:val="13"/>
    <w:semiHidden/>
    <w:qFormat/>
    <w:uiPriority w:val="99"/>
    <w:rPr>
      <w:rFonts w:ascii="Calibri" w:hAnsi="Calibri" w:cs="Calibri"/>
      <w:sz w:val="16"/>
      <w:szCs w:val="16"/>
    </w:rPr>
  </w:style>
  <w:style w:type="character" w:customStyle="1" w:styleId="56">
    <w:name w:val="结束语 Char"/>
    <w:link w:val="14"/>
    <w:semiHidden/>
    <w:qFormat/>
    <w:uiPriority w:val="99"/>
    <w:rPr>
      <w:rFonts w:ascii="Calibri" w:hAnsi="Calibri" w:cs="Calibri"/>
      <w:szCs w:val="21"/>
    </w:rPr>
  </w:style>
  <w:style w:type="character" w:customStyle="1" w:styleId="57">
    <w:name w:val="正文文本缩进 Char"/>
    <w:link w:val="16"/>
    <w:qFormat/>
    <w:locked/>
    <w:uiPriority w:val="99"/>
    <w:rPr>
      <w:rFonts w:eastAsia="宋体"/>
      <w:kern w:val="2"/>
      <w:sz w:val="24"/>
      <w:szCs w:val="24"/>
      <w:lang w:val="en-US" w:eastAsia="zh-CN"/>
    </w:rPr>
  </w:style>
  <w:style w:type="character" w:customStyle="1" w:styleId="58">
    <w:name w:val="纯文本 Char1"/>
    <w:link w:val="18"/>
    <w:semiHidden/>
    <w:qFormat/>
    <w:uiPriority w:val="99"/>
    <w:rPr>
      <w:rFonts w:ascii="宋体" w:hAnsi="Courier New" w:cs="Courier New"/>
      <w:szCs w:val="21"/>
    </w:rPr>
  </w:style>
  <w:style w:type="character" w:customStyle="1" w:styleId="59">
    <w:name w:val="日期 Char"/>
    <w:link w:val="19"/>
    <w:semiHidden/>
    <w:qFormat/>
    <w:uiPriority w:val="99"/>
    <w:rPr>
      <w:rFonts w:ascii="Calibri" w:hAnsi="Calibri" w:cs="Calibri"/>
      <w:szCs w:val="21"/>
    </w:rPr>
  </w:style>
  <w:style w:type="character" w:customStyle="1" w:styleId="60">
    <w:name w:val="正文文本缩进 2 Char"/>
    <w:link w:val="20"/>
    <w:qFormat/>
    <w:locked/>
    <w:uiPriority w:val="99"/>
    <w:rPr>
      <w:rFonts w:ascii="宋体" w:hAnsi="华文中宋" w:eastAsia="宋体" w:cs="宋体"/>
      <w:kern w:val="2"/>
      <w:sz w:val="26"/>
      <w:szCs w:val="26"/>
      <w:lang w:val="en-US" w:eastAsia="zh-CN"/>
    </w:rPr>
  </w:style>
  <w:style w:type="character" w:customStyle="1" w:styleId="61">
    <w:name w:val="批注框文本 Char1"/>
    <w:link w:val="21"/>
    <w:qFormat/>
    <w:locked/>
    <w:uiPriority w:val="99"/>
    <w:rPr>
      <w:rFonts w:eastAsia="宋体"/>
      <w:kern w:val="2"/>
      <w:sz w:val="18"/>
      <w:szCs w:val="18"/>
      <w:lang w:val="en-US" w:eastAsia="zh-CN"/>
    </w:rPr>
  </w:style>
  <w:style w:type="character" w:customStyle="1" w:styleId="62">
    <w:name w:val="页脚 Char1"/>
    <w:link w:val="22"/>
    <w:qFormat/>
    <w:locked/>
    <w:uiPriority w:val="99"/>
    <w:rPr>
      <w:rFonts w:eastAsia="宋体"/>
      <w:kern w:val="2"/>
      <w:sz w:val="18"/>
      <w:szCs w:val="18"/>
      <w:lang w:val="en-US" w:eastAsia="zh-CN"/>
    </w:rPr>
  </w:style>
  <w:style w:type="character" w:customStyle="1" w:styleId="63">
    <w:name w:val="页眉 Char1"/>
    <w:link w:val="23"/>
    <w:qFormat/>
    <w:locked/>
    <w:uiPriority w:val="99"/>
    <w:rPr>
      <w:rFonts w:eastAsia="宋体"/>
      <w:kern w:val="2"/>
      <w:sz w:val="18"/>
      <w:szCs w:val="18"/>
      <w:lang w:val="en-US" w:eastAsia="zh-CN"/>
    </w:rPr>
  </w:style>
  <w:style w:type="character" w:customStyle="1" w:styleId="64">
    <w:name w:val="副标题 Char"/>
    <w:link w:val="28"/>
    <w:qFormat/>
    <w:uiPriority w:val="11"/>
    <w:rPr>
      <w:rFonts w:ascii="Cambria" w:hAnsi="Cambria" w:cs="Times New Roman"/>
      <w:b/>
      <w:bCs/>
      <w:kern w:val="28"/>
      <w:sz w:val="32"/>
      <w:szCs w:val="32"/>
    </w:rPr>
  </w:style>
  <w:style w:type="character" w:customStyle="1" w:styleId="65">
    <w:name w:val="正文文本 2 Char"/>
    <w:link w:val="30"/>
    <w:qFormat/>
    <w:locked/>
    <w:uiPriority w:val="99"/>
    <w:rPr>
      <w:rFonts w:ascii="宋体" w:hAnsi="宋体" w:eastAsia="宋体" w:cs="宋体"/>
      <w:color w:val="000000"/>
      <w:kern w:val="2"/>
      <w:sz w:val="24"/>
      <w:szCs w:val="24"/>
      <w:lang w:val="en-US" w:eastAsia="zh-CN"/>
    </w:rPr>
  </w:style>
  <w:style w:type="character" w:customStyle="1" w:styleId="66">
    <w:name w:val="HTML 预设格式 Char"/>
    <w:link w:val="31"/>
    <w:semiHidden/>
    <w:qFormat/>
    <w:uiPriority w:val="99"/>
    <w:rPr>
      <w:rFonts w:ascii="Courier New" w:hAnsi="Courier New" w:cs="Courier New"/>
      <w:sz w:val="20"/>
      <w:szCs w:val="20"/>
    </w:rPr>
  </w:style>
  <w:style w:type="character" w:customStyle="1" w:styleId="67">
    <w:name w:val="标题 Char"/>
    <w:link w:val="33"/>
    <w:qFormat/>
    <w:uiPriority w:val="10"/>
    <w:rPr>
      <w:rFonts w:ascii="Cambria" w:hAnsi="Cambria" w:cs="Times New Roman"/>
      <w:b/>
      <w:bCs/>
      <w:sz w:val="32"/>
      <w:szCs w:val="32"/>
    </w:rPr>
  </w:style>
  <w:style w:type="character" w:customStyle="1" w:styleId="68">
    <w:name w:val="font71"/>
    <w:qFormat/>
    <w:uiPriority w:val="99"/>
    <w:rPr>
      <w:rFonts w:ascii="宋体" w:hAnsi="宋体" w:eastAsia="宋体" w:cs="宋体"/>
      <w:color w:val="000000"/>
      <w:sz w:val="28"/>
      <w:szCs w:val="28"/>
      <w:u w:val="none"/>
    </w:rPr>
  </w:style>
  <w:style w:type="character" w:customStyle="1" w:styleId="69">
    <w:name w:val="Font Style17"/>
    <w:qFormat/>
    <w:uiPriority w:val="99"/>
    <w:rPr>
      <w:rFonts w:ascii="黑体" w:eastAsia="黑体" w:cs="黑体"/>
      <w:sz w:val="28"/>
      <w:szCs w:val="28"/>
    </w:rPr>
  </w:style>
  <w:style w:type="character" w:customStyle="1" w:styleId="70">
    <w:name w:val="font41"/>
    <w:qFormat/>
    <w:uiPriority w:val="99"/>
    <w:rPr>
      <w:rFonts w:ascii="Times New Roman" w:hAnsi="Times New Roman" w:cs="Times New Roman"/>
      <w:color w:val="000000"/>
      <w:sz w:val="28"/>
      <w:szCs w:val="28"/>
      <w:u w:val="none"/>
    </w:rPr>
  </w:style>
  <w:style w:type="character" w:customStyle="1" w:styleId="71">
    <w:name w:val="font51"/>
    <w:qFormat/>
    <w:uiPriority w:val="99"/>
    <w:rPr>
      <w:rFonts w:ascii="Times New Roman" w:hAnsi="Times New Roman" w:cs="Times New Roman"/>
      <w:color w:val="000000"/>
      <w:sz w:val="28"/>
      <w:szCs w:val="28"/>
      <w:u w:val="none"/>
    </w:rPr>
  </w:style>
  <w:style w:type="character" w:customStyle="1" w:styleId="72">
    <w:name w:val="font81"/>
    <w:qFormat/>
    <w:uiPriority w:val="99"/>
    <w:rPr>
      <w:rFonts w:ascii="仿宋_GB2312" w:eastAsia="仿宋_GB2312" w:cs="仿宋_GB2312"/>
      <w:color w:val="000000"/>
      <w:sz w:val="28"/>
      <w:szCs w:val="28"/>
      <w:u w:val="none"/>
    </w:rPr>
  </w:style>
  <w:style w:type="character" w:customStyle="1" w:styleId="73">
    <w:name w:val="标题 3 Char1"/>
    <w:qFormat/>
    <w:uiPriority w:val="99"/>
    <w:rPr>
      <w:rFonts w:eastAsia="宋体"/>
      <w:b/>
      <w:bCs/>
      <w:kern w:val="2"/>
      <w:sz w:val="32"/>
      <w:szCs w:val="32"/>
      <w:lang w:val="en-US" w:eastAsia="zh-CN"/>
    </w:rPr>
  </w:style>
  <w:style w:type="character" w:customStyle="1" w:styleId="74">
    <w:name w:val="标题 3 Char Char"/>
    <w:qFormat/>
    <w:uiPriority w:val="99"/>
    <w:rPr>
      <w:rFonts w:ascii="黑体" w:eastAsia="黑体" w:cs="黑体"/>
      <w:sz w:val="30"/>
      <w:szCs w:val="30"/>
    </w:rPr>
  </w:style>
  <w:style w:type="character" w:customStyle="1" w:styleId="75">
    <w:name w:val="样式 小五"/>
    <w:qFormat/>
    <w:uiPriority w:val="99"/>
    <w:rPr>
      <w:rFonts w:eastAsia="仿宋_GB2312"/>
      <w:sz w:val="18"/>
      <w:szCs w:val="18"/>
    </w:rPr>
  </w:style>
  <w:style w:type="character" w:customStyle="1" w:styleId="76">
    <w:name w:val="批注框文本 Char"/>
    <w:qFormat/>
    <w:uiPriority w:val="99"/>
    <w:rPr>
      <w:rFonts w:ascii="Times New Roman" w:hAnsi="Times New Roman" w:eastAsia="宋体" w:cs="Times New Roman"/>
      <w:sz w:val="18"/>
      <w:szCs w:val="18"/>
    </w:rPr>
  </w:style>
  <w:style w:type="character" w:customStyle="1" w:styleId="77">
    <w:name w:val="font101"/>
    <w:qFormat/>
    <w:uiPriority w:val="99"/>
    <w:rPr>
      <w:rFonts w:ascii="宋体" w:hAnsi="宋体" w:eastAsia="宋体" w:cs="宋体"/>
      <w:color w:val="000000"/>
      <w:sz w:val="28"/>
      <w:szCs w:val="28"/>
      <w:u w:val="none"/>
    </w:rPr>
  </w:style>
  <w:style w:type="character" w:customStyle="1" w:styleId="78">
    <w:name w:val="样式 普通(网站) + 小五 Char Char"/>
    <w:link w:val="79"/>
    <w:qFormat/>
    <w:locked/>
    <w:uiPriority w:val="99"/>
    <w:rPr>
      <w:rFonts w:ascii="Arial Unicode MS" w:hAnsi="Arial Unicode MS" w:eastAsia="仿宋_GB2312" w:cs="Arial Unicode MS"/>
      <w:sz w:val="24"/>
      <w:szCs w:val="24"/>
      <w:lang w:val="en-US" w:eastAsia="zh-CN"/>
    </w:rPr>
  </w:style>
  <w:style w:type="paragraph" w:customStyle="1" w:styleId="79">
    <w:name w:val="样式 普通(网站) + 小五"/>
    <w:basedOn w:val="32"/>
    <w:link w:val="78"/>
    <w:qFormat/>
    <w:uiPriority w:val="99"/>
    <w:pPr>
      <w:spacing w:before="0" w:beforeAutospacing="0" w:after="0" w:afterAutospacing="0" w:line="240" w:lineRule="exact"/>
    </w:pPr>
    <w:rPr>
      <w:rFonts w:ascii="Arial Unicode MS" w:hAnsi="Arial Unicode MS" w:eastAsia="仿宋_GB2312" w:cs="Arial Unicode MS"/>
      <w:sz w:val="18"/>
      <w:szCs w:val="18"/>
    </w:rPr>
  </w:style>
  <w:style w:type="paragraph" w:customStyle="1" w:styleId="80">
    <w:name w:val="保留正文"/>
    <w:basedOn w:val="15"/>
    <w:qFormat/>
    <w:uiPriority w:val="99"/>
    <w:pPr>
      <w:keepNext/>
      <w:spacing w:after="160"/>
    </w:pPr>
  </w:style>
  <w:style w:type="paragraph" w:customStyle="1" w:styleId="81">
    <w:name w:val="题注4"/>
    <w:basedOn w:val="1"/>
    <w:next w:val="10"/>
    <w:qFormat/>
    <w:uiPriority w:val="99"/>
    <w:pPr>
      <w:ind w:left="-132" w:leftChars="-64" w:right="-105" w:rightChars="-50" w:hanging="2"/>
      <w:jc w:val="center"/>
    </w:pPr>
    <w:rPr>
      <w:b/>
      <w:bCs/>
      <w:color w:val="FF0000"/>
      <w:lang w:val="en-GB"/>
    </w:rPr>
  </w:style>
  <w:style w:type="paragraph" w:customStyle="1" w:styleId="82">
    <w:name w:val="正文 New"/>
    <w:qFormat/>
    <w:uiPriority w:val="99"/>
    <w:pPr>
      <w:widowControl w:val="0"/>
      <w:jc w:val="both"/>
    </w:pPr>
    <w:rPr>
      <w:rFonts w:ascii="Calibri" w:hAnsi="Calibri" w:eastAsia="宋体" w:cs="Calibri"/>
      <w:kern w:val="2"/>
      <w:sz w:val="21"/>
      <w:szCs w:val="21"/>
      <w:lang w:val="en-US" w:eastAsia="zh-CN" w:bidi="ar-SA"/>
    </w:rPr>
  </w:style>
  <w:style w:type="paragraph" w:customStyle="1" w:styleId="83">
    <w:name w:val="标题3"/>
    <w:basedOn w:val="5"/>
    <w:qFormat/>
    <w:uiPriority w:val="99"/>
    <w:pPr>
      <w:tabs>
        <w:tab w:val="left" w:pos="8640"/>
      </w:tabs>
      <w:adjustRightInd w:val="0"/>
      <w:jc w:val="left"/>
      <w:textAlignment w:val="baseline"/>
    </w:pPr>
    <w:rPr>
      <w:rFonts w:hAnsi="宋体"/>
      <w:sz w:val="32"/>
      <w:szCs w:val="32"/>
    </w:rPr>
  </w:style>
  <w:style w:type="paragraph" w:customStyle="1" w:styleId="84">
    <w:name w:val="页脚 New"/>
    <w:basedOn w:val="85"/>
    <w:qFormat/>
    <w:uiPriority w:val="99"/>
    <w:pPr>
      <w:widowControl/>
      <w:tabs>
        <w:tab w:val="center" w:pos="4153"/>
        <w:tab w:val="right" w:pos="8306"/>
      </w:tabs>
      <w:snapToGrid w:val="0"/>
      <w:jc w:val="left"/>
    </w:pPr>
    <w:rPr>
      <w:sz w:val="18"/>
      <w:szCs w:val="18"/>
    </w:rPr>
  </w:style>
  <w:style w:type="paragraph" w:customStyle="1" w:styleId="85">
    <w:name w:val="正文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86">
    <w:name w:val="Char1"/>
    <w:basedOn w:val="1"/>
    <w:qFormat/>
    <w:uiPriority w:val="99"/>
    <w:pPr>
      <w:widowControl/>
      <w:spacing w:before="100" w:beforeAutospacing="1" w:after="100" w:afterAutospacing="1" w:line="330" w:lineRule="atLeast"/>
      <w:ind w:left="360"/>
      <w:jc w:val="left"/>
    </w:pPr>
  </w:style>
  <w:style w:type="paragraph" w:customStyle="1" w:styleId="87">
    <w:name w:val="正文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88">
    <w:name w:val="修订1"/>
    <w:qFormat/>
    <w:uiPriority w:val="99"/>
    <w:rPr>
      <w:rFonts w:ascii="Calibri" w:hAnsi="Calibri" w:eastAsia="宋体" w:cs="Calibri"/>
      <w:kern w:val="2"/>
      <w:sz w:val="21"/>
      <w:szCs w:val="21"/>
      <w:lang w:val="en-US" w:eastAsia="zh-CN" w:bidi="ar-SA"/>
    </w:rPr>
  </w:style>
  <w:style w:type="paragraph" w:customStyle="1" w:styleId="89">
    <w:name w:val="题注5"/>
    <w:basedOn w:val="1"/>
    <w:next w:val="10"/>
    <w:qFormat/>
    <w:uiPriority w:val="99"/>
    <w:pPr>
      <w:jc w:val="center"/>
    </w:pPr>
    <w:rPr>
      <w:b/>
      <w:bCs/>
      <w:color w:val="000000"/>
      <w:sz w:val="24"/>
      <w:szCs w:val="24"/>
    </w:rPr>
  </w:style>
  <w:style w:type="paragraph" w:customStyle="1" w:styleId="90">
    <w:name w:val="列出段落1"/>
    <w:basedOn w:val="1"/>
    <w:qFormat/>
    <w:uiPriority w:val="99"/>
    <w:pPr>
      <w:widowControl/>
      <w:ind w:left="720"/>
      <w:jc w:val="left"/>
    </w:pPr>
    <w:rPr>
      <w:i/>
      <w:iCs/>
      <w:kern w:val="0"/>
      <w:sz w:val="20"/>
      <w:szCs w:val="20"/>
    </w:rPr>
  </w:style>
  <w:style w:type="paragraph" w:customStyle="1" w:styleId="91">
    <w:name w:val="二级目录"/>
    <w:basedOn w:val="1"/>
    <w:qFormat/>
    <w:uiPriority w:val="99"/>
    <w:pPr>
      <w:spacing w:line="360" w:lineRule="exact"/>
      <w:ind w:firstLine="412" w:firstLineChars="196"/>
      <w:outlineLvl w:val="1"/>
    </w:pPr>
    <w:rPr>
      <w:rFonts w:ascii="Times New Roman" w:hAnsi="宋体" w:cs="Times New Roman"/>
      <w:kern w:val="0"/>
    </w:rPr>
  </w:style>
  <w:style w:type="paragraph" w:customStyle="1" w:styleId="92">
    <w:name w:val="_Style 1"/>
    <w:basedOn w:val="1"/>
    <w:qFormat/>
    <w:uiPriority w:val="99"/>
    <w:pPr>
      <w:ind w:firstLine="420" w:firstLineChars="200"/>
    </w:pPr>
  </w:style>
  <w:style w:type="paragraph" w:customStyle="1" w:styleId="93">
    <w:name w:val="正文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94">
    <w:name w:val="Char Char Char Char"/>
    <w:basedOn w:val="1"/>
    <w:qFormat/>
    <w:uiPriority w:val="99"/>
    <w:rPr>
      <w:rFonts w:ascii="Tahoma" w:hAnsi="Tahoma" w:cs="Tahoma"/>
      <w:sz w:val="24"/>
      <w:szCs w:val="24"/>
    </w:rPr>
  </w:style>
  <w:style w:type="paragraph" w:customStyle="1" w:styleId="95">
    <w:name w:val="Char Char2 Char"/>
    <w:basedOn w:val="1"/>
    <w:qFormat/>
    <w:uiPriority w:val="99"/>
    <w:rPr>
      <w:rFonts w:ascii="宋体" w:hAnsi="宋体" w:cs="宋体"/>
      <w:b/>
      <w:bCs/>
      <w:sz w:val="28"/>
      <w:szCs w:val="28"/>
    </w:rPr>
  </w:style>
  <w:style w:type="paragraph" w:customStyle="1" w:styleId="96">
    <w:name w:val="正文缩入"/>
    <w:basedOn w:val="1"/>
    <w:qFormat/>
    <w:uiPriority w:val="99"/>
    <w:pPr>
      <w:spacing w:after="120"/>
      <w:ind w:firstLine="504"/>
    </w:pPr>
    <w:rPr>
      <w:sz w:val="24"/>
      <w:szCs w:val="24"/>
    </w:rPr>
  </w:style>
  <w:style w:type="paragraph" w:styleId="97">
    <w:name w:val="List Paragraph"/>
    <w:basedOn w:val="1"/>
    <w:qFormat/>
    <w:uiPriority w:val="34"/>
    <w:pPr>
      <w:ind w:firstLine="420" w:firstLineChars="200"/>
    </w:pPr>
  </w:style>
  <w:style w:type="paragraph" w:customStyle="1" w:styleId="98">
    <w:name w:val="Char1 Char Char Char Char Char Char1 Char Char Char"/>
    <w:basedOn w:val="1"/>
    <w:qFormat/>
    <w:uiPriority w:val="99"/>
    <w:pPr>
      <w:widowControl/>
      <w:spacing w:after="160" w:line="240" w:lineRule="exact"/>
      <w:jc w:val="left"/>
    </w:pPr>
    <w:rPr>
      <w:rFonts w:ascii="Verdana" w:hAnsi="Verdana" w:cs="Verdana"/>
      <w:kern w:val="0"/>
      <w:lang w:eastAsia="en-US"/>
    </w:rPr>
  </w:style>
  <w:style w:type="paragraph" w:customStyle="1" w:styleId="99">
    <w:name w:val="填表"/>
    <w:qFormat/>
    <w:uiPriority w:val="99"/>
    <w:rPr>
      <w:rFonts w:ascii="Calibri" w:hAnsi="Calibri" w:eastAsia="宋体" w:cs="Calibri"/>
      <w:kern w:val="2"/>
      <w:sz w:val="18"/>
      <w:szCs w:val="18"/>
      <w:lang w:val="en-US" w:eastAsia="zh-CN" w:bidi="ar-SA"/>
    </w:rPr>
  </w:style>
  <w:style w:type="paragraph" w:customStyle="1" w:styleId="100">
    <w:name w:val="表格文字"/>
    <w:basedOn w:val="1"/>
    <w:next w:val="15"/>
    <w:qFormat/>
    <w:uiPriority w:val="99"/>
    <w:pPr>
      <w:spacing w:before="25" w:after="25"/>
      <w:jc w:val="left"/>
    </w:pPr>
    <w:rPr>
      <w:spacing w:val="10"/>
      <w:kern w:val="0"/>
      <w:sz w:val="24"/>
      <w:szCs w:val="24"/>
    </w:rPr>
  </w:style>
  <w:style w:type="paragraph" w:customStyle="1" w:styleId="101">
    <w:name w:val="_Style 55"/>
    <w:basedOn w:val="1"/>
    <w:qFormat/>
    <w:uiPriority w:val="99"/>
    <w:pPr>
      <w:widowControl/>
      <w:spacing w:after="160" w:line="240" w:lineRule="exact"/>
      <w:jc w:val="left"/>
    </w:pPr>
  </w:style>
  <w:style w:type="paragraph" w:customStyle="1" w:styleId="102">
    <w:name w:val="正文文本缩进 21"/>
    <w:basedOn w:val="1"/>
    <w:qFormat/>
    <w:uiPriority w:val="99"/>
    <w:pPr>
      <w:spacing w:after="120" w:line="480" w:lineRule="auto"/>
      <w:ind w:left="420" w:leftChars="200"/>
    </w:pPr>
  </w:style>
  <w:style w:type="paragraph" w:customStyle="1" w:styleId="103">
    <w:name w:val="xl27"/>
    <w:basedOn w:val="1"/>
    <w:qFormat/>
    <w:uiPriority w:val="99"/>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rPr>
  </w:style>
  <w:style w:type="paragraph" w:customStyle="1" w:styleId="104">
    <w:name w:val="正文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05">
    <w:name w:val="Char Char Char Char1"/>
    <w:basedOn w:val="1"/>
    <w:qFormat/>
    <w:uiPriority w:val="99"/>
    <w:rPr>
      <w:rFonts w:ascii="Tahoma" w:hAnsi="Tahoma" w:cs="Tahoma"/>
      <w:sz w:val="24"/>
      <w:szCs w:val="24"/>
    </w:rPr>
  </w:style>
  <w:style w:type="paragraph" w:customStyle="1" w:styleId="106">
    <w:name w:val="Char Char Char Char Char Char Char Char"/>
    <w:basedOn w:val="1"/>
    <w:next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07">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08">
    <w:name w:val="标准正文"/>
    <w:basedOn w:val="16"/>
    <w:qFormat/>
    <w:uiPriority w:val="99"/>
    <w:pPr>
      <w:widowControl/>
      <w:spacing w:before="60" w:after="60" w:line="360" w:lineRule="auto"/>
      <w:ind w:left="0" w:leftChars="0" w:firstLine="482"/>
      <w:jc w:val="left"/>
    </w:pPr>
    <w:rPr>
      <w:rFonts w:ascii="Arial" w:hAnsi="Arial" w:cs="Arial"/>
      <w:kern w:val="0"/>
      <w:sz w:val="24"/>
      <w:szCs w:val="24"/>
    </w:rPr>
  </w:style>
  <w:style w:type="paragraph" w:customStyle="1" w:styleId="109">
    <w:name w:val="图"/>
    <w:basedOn w:val="1"/>
    <w:qFormat/>
    <w:uiPriority w:val="99"/>
    <w:pPr>
      <w:keepNext/>
      <w:adjustRightInd w:val="0"/>
      <w:spacing w:before="60" w:after="60" w:line="300" w:lineRule="auto"/>
      <w:jc w:val="center"/>
      <w:textAlignment w:val="center"/>
    </w:pPr>
    <w:rPr>
      <w:spacing w:val="20"/>
      <w:kern w:val="0"/>
      <w:sz w:val="24"/>
      <w:szCs w:val="24"/>
    </w:rPr>
  </w:style>
  <w:style w:type="paragraph" w:customStyle="1" w:styleId="110">
    <w:name w:val="正文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11">
    <w:name w:val="_正文"/>
    <w:basedOn w:val="1"/>
    <w:qFormat/>
    <w:uiPriority w:val="99"/>
    <w:pPr>
      <w:spacing w:line="360" w:lineRule="auto"/>
      <w:ind w:firstLine="200" w:firstLineChars="200"/>
    </w:pPr>
    <w:rPr>
      <w:rFonts w:ascii="宋体" w:hAnsi="宋体" w:cs="宋体"/>
      <w:sz w:val="24"/>
      <w:szCs w:val="24"/>
    </w:rPr>
  </w:style>
  <w:style w:type="paragraph" w:customStyle="1" w:styleId="112">
    <w:name w:val="1"/>
    <w:basedOn w:val="1"/>
    <w:next w:val="18"/>
    <w:qFormat/>
    <w:uiPriority w:val="99"/>
    <w:rPr>
      <w:rFonts w:ascii="宋体" w:hAnsi="Courier New" w:cs="宋体"/>
    </w:rPr>
  </w:style>
  <w:style w:type="paragraph" w:customStyle="1" w:styleId="113">
    <w:name w:val="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4">
    <w:name w:val="TOC 标题1"/>
    <w:basedOn w:val="3"/>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115">
    <w:name w:val="正文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16">
    <w:name w:val="列出段落11"/>
    <w:basedOn w:val="1"/>
    <w:qFormat/>
    <w:uiPriority w:val="99"/>
    <w:pPr>
      <w:ind w:firstLine="420" w:firstLineChars="200"/>
    </w:pPr>
  </w:style>
  <w:style w:type="paragraph" w:customStyle="1" w:styleId="117">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8">
    <w:name w:val="_Style 3"/>
    <w:basedOn w:val="1"/>
    <w:qFormat/>
    <w:uiPriority w:val="99"/>
    <w:pPr>
      <w:ind w:firstLine="420" w:firstLineChars="200"/>
    </w:pPr>
  </w:style>
  <w:style w:type="paragraph" w:customStyle="1" w:styleId="119">
    <w:name w:val="Char Char Char Char Char Char1 Char"/>
    <w:basedOn w:val="1"/>
    <w:qFormat/>
    <w:uiPriority w:val="99"/>
    <w:pPr>
      <w:widowControl/>
      <w:spacing w:after="160" w:line="240" w:lineRule="exact"/>
      <w:jc w:val="left"/>
    </w:pPr>
  </w:style>
  <w:style w:type="paragraph" w:customStyle="1" w:styleId="120">
    <w:name w:val="标题 1 New"/>
    <w:basedOn w:val="1"/>
    <w:next w:val="1"/>
    <w:qFormat/>
    <w:uiPriority w:val="99"/>
    <w:pPr>
      <w:keepNext/>
      <w:keepLines/>
      <w:spacing w:before="340" w:after="330" w:line="578" w:lineRule="auto"/>
      <w:outlineLvl w:val="0"/>
    </w:pPr>
    <w:rPr>
      <w:b/>
      <w:bCs/>
      <w:kern w:val="44"/>
      <w:sz w:val="44"/>
      <w:szCs w:val="44"/>
    </w:rPr>
  </w:style>
  <w:style w:type="paragraph" w:customStyle="1" w:styleId="121">
    <w:name w:val="p0"/>
    <w:basedOn w:val="1"/>
    <w:qFormat/>
    <w:uiPriority w:val="99"/>
    <w:pPr>
      <w:widowControl/>
    </w:pPr>
    <w:rPr>
      <w:kern w:val="0"/>
    </w:rPr>
  </w:style>
  <w:style w:type="paragraph" w:customStyle="1" w:styleId="122">
    <w:name w:val="Default"/>
    <w:qFormat/>
    <w:uiPriority w:val="99"/>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123">
    <w:name w:val="Char Char2"/>
    <w:basedOn w:val="1"/>
    <w:qFormat/>
    <w:uiPriority w:val="99"/>
  </w:style>
  <w:style w:type="character" w:customStyle="1" w:styleId="124">
    <w:name w:val="未处理的提及1"/>
    <w:semiHidden/>
    <w:qFormat/>
    <w:uiPriority w:val="99"/>
    <w:rPr>
      <w:color w:val="auto"/>
      <w:shd w:val="clear" w:color="auto" w:fill="auto"/>
    </w:rPr>
  </w:style>
  <w:style w:type="character" w:customStyle="1" w:styleId="125">
    <w:name w:val="纯文本 Char"/>
    <w:qFormat/>
    <w:uiPriority w:val="99"/>
    <w:rPr>
      <w:rFonts w:ascii="宋体" w:hAnsi="Courier New" w:eastAsia="宋体" w:cs="Times New Roman"/>
      <w:szCs w:val="21"/>
    </w:rPr>
  </w:style>
  <w:style w:type="character" w:customStyle="1" w:styleId="126">
    <w:name w:val="页眉 Char"/>
    <w:qFormat/>
    <w:uiPriority w:val="99"/>
    <w:rPr>
      <w:rFonts w:ascii="Times New Roman" w:hAnsi="Times New Roman" w:eastAsia="宋体" w:cs="Times New Roman"/>
      <w:sz w:val="18"/>
      <w:szCs w:val="18"/>
    </w:rPr>
  </w:style>
  <w:style w:type="character" w:customStyle="1" w:styleId="127">
    <w:name w:val="页脚 Char"/>
    <w:qFormat/>
    <w:uiPriority w:val="99"/>
    <w:rPr>
      <w:rFonts w:ascii="Times New Roman" w:hAnsi="Times New Roman" w:eastAsia="宋体" w:cs="Times New Roman"/>
      <w:sz w:val="18"/>
      <w:szCs w:val="18"/>
    </w:rPr>
  </w:style>
  <w:style w:type="character" w:customStyle="1" w:styleId="128">
    <w:name w:val="正文缩进 Char"/>
    <w:link w:val="9"/>
    <w:qFormat/>
    <w:uiPriority w:val="99"/>
    <w:rPr>
      <w:rFonts w:ascii="Calibri" w:hAnsi="Calibri" w:cs="Calibri"/>
      <w:kern w:val="2"/>
      <w:sz w:val="21"/>
      <w:szCs w:val="21"/>
    </w:rPr>
  </w:style>
  <w:style w:type="paragraph" w:customStyle="1" w:styleId="129">
    <w:name w:val="È±Ê¡ÎÄ±¾"/>
    <w:basedOn w:val="1"/>
    <w:qFormat/>
    <w:uiPriority w:val="0"/>
    <w:pPr>
      <w:widowControl/>
      <w:overflowPunct w:val="0"/>
      <w:autoSpaceDE w:val="0"/>
      <w:autoSpaceDN w:val="0"/>
      <w:adjustRightInd w:val="0"/>
      <w:jc w:val="left"/>
      <w:textAlignment w:val="baseline"/>
    </w:pPr>
    <w:rPr>
      <w:rFonts w:ascii="宋体" w:hAnsi="Times New Roman" w:cs="Times New Roman"/>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3924</Words>
  <Characters>22367</Characters>
  <Lines>186</Lines>
  <Paragraphs>52</Paragraphs>
  <TotalTime>0</TotalTime>
  <ScaleCrop>false</ScaleCrop>
  <LinksUpToDate>false</LinksUpToDate>
  <CharactersWithSpaces>26239</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2024-06-20T02:11:00Z</dcterms:created>
  <dc:creator>dministrator</dc:creator>
  <cp:lastModifiedBy>杨寿刚</cp:lastModifiedBy>
  <cp:lastPrinted>2024-06-18T07:10:00Z</cp:lastPrinted>
  <dcterms:modified xsi:type="dcterms:W3CDTF">2025-07-09T01:57:10Z</dcterms:modified>
  <dc:title>国内货物采购招标文件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82F4A469A50B414FB1F67BE49587CA16</vt:lpwstr>
  </property>
</Properties>
</file>